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Calibri" w:cs="Calibri" w:eastAsia="Calibri" w:hAnsi="Calibri"/>
          <w:b/>
          <w:bCs/>
          <w:color w:val="026773"/>
          <w:spacing w:val="40"/>
          <w:sz w:val="19"/>
          <w:szCs w:val="19"/>
        </w:rPr>
        <w:t xml:space="preserve">PROPOSED CLINICAL PROTOCOL</w:t>
      </w:r>
    </w:p>
    <w:p>
      <w:pPr>
        <w:spacing w:after="40"/>
      </w:pPr>
      <w:r>
        <w:rPr>
          <w:rFonts w:ascii="Cambria" w:cs="Cambria" w:eastAsia="Cambria" w:hAnsi="Cambria"/>
          <w:b/>
          <w:bCs/>
          <w:color w:val="0B2027"/>
          <w:sz w:val="44"/>
          <w:szCs w:val="44"/>
        </w:rPr>
        <w:t xml:space="preserve">A VO₂-Optimizing Program for the High-Risk Cardiometabolic Patient</w:t>
      </w:r>
    </w:p>
    <w:p>
      <w:pPr>
        <w:pBdr>
          <w:bottom w:val="single" w:color="9FB6BA" w:sz="8" w:space="8"/>
        </w:pBdr>
        <w:spacing w:after="120"/>
      </w:pPr>
      <w:r>
        <w:rPr>
          <w:rFonts w:ascii="Cambria" w:cs="Cambria" w:eastAsia="Cambria" w:hAnsi="Cambria"/>
          <w:i/>
          <w:iCs/>
          <w:color w:val="026773"/>
          <w:sz w:val="24"/>
          <w:szCs w:val="24"/>
        </w:rPr>
        <w:t xml:space="preserve">Sedentary, obese, actively smoking, with alcohol use disorder and elevated pre-diabetes risk</w:t>
      </w:r>
    </w:p>
    <w:p>
      <w:pPr>
        <w:spacing w:after="200"/>
      </w:pPr>
      <w:r>
        <w:rPr>
          <w:rFonts w:ascii="Calibri" w:cs="Calibri" w:eastAsia="Calibri" w:hAnsi="Calibri"/>
          <w:i/>
          <w:iCs/>
          <w:color w:val="5A6B70"/>
          <w:sz w:val="18"/>
          <w:szCs w:val="18"/>
        </w:rPr>
        <w:t xml:space="preserve">Companion protocol to the Verbal investor thesis and Scientific Appendix  ·  Prepared July 2026  ·  Confidential</w:t>
      </w:r>
    </w:p>
    <w:p>
      <w:pPr>
        <w:spacing w:after="140" w:before="320"/>
      </w:pPr>
      <w:r>
        <w:rPr>
          <w:rFonts w:ascii="Cambria" w:cs="Cambria" w:eastAsia="Cambria" w:hAnsi="Cambria"/>
          <w:b/>
          <w:bCs/>
          <w:color w:val="0B2027"/>
          <w:sz w:val="30"/>
          <w:szCs w:val="30"/>
        </w:rPr>
        <w:t xml:space="preserve">1.  Purpose and target population</w:t>
      </w:r>
    </w:p>
    <w:p>
      <w:pPr>
        <w:spacing w:after="140" w:line="276"/>
        <w:jc w:val="both"/>
      </w:pPr>
      <w:r>
        <w:rPr>
          <w:rFonts w:ascii="Calibri" w:cs="Calibri" w:eastAsia="Calibri" w:hAnsi="Calibri"/>
          <w:color w:val="1A2E33"/>
          <w:sz w:val="21"/>
          <w:szCs w:val="21"/>
        </w:rPr>
        <w:t xml:space="preserve">This protocol specifies how a program built around cardiorespiratory fitness (VO₂ max) as a continuously managed clinical signal would operate for the hardest and most common cardiometabolic phenotype: the sedentary adult with obesity, current tobacco use, an alcohol use disorder, and elevated risk for pre-diabetes. It is a design document, not a marketing claim; every mechanism and target below is anchored to the published literature listed in Section 12.</w:t>
      </w:r>
    </w:p>
    <w:p>
      <w:pPr>
        <w:spacing w:after="140" w:line="276"/>
        <w:jc w:val="both"/>
      </w:pPr>
      <w:r>
        <w:rPr>
          <w:rFonts w:ascii="Calibri" w:cs="Calibri" w:eastAsia="Calibri" w:hAnsi="Calibri"/>
          <w:color w:val="1A2E33"/>
          <w:sz w:val="21"/>
          <w:szCs w:val="21"/>
        </w:rPr>
        <w:t xml:space="preserve">The organizing principle is that the four exposures defining this patient, inactivity, adiposity, smoking, and heavy alcohol use, are not comorbidities to be managed beside a fitness program. Each one directly suppresses measured VO₂ max through a distinct physiological channel, so removing them is the fitness intervention. VO₂ max is used as the single integrative readout of whether the whole plan is working, while conventional markers (HbA1c, blood pressure, weight, resting heart rate) are tracked as supporting, organ-specific detail.</w:t>
      </w:r>
    </w:p>
    <w:p>
      <w:pPr>
        <w:spacing w:after="140" w:before="320"/>
      </w:pPr>
      <w:r>
        <w:rPr>
          <w:rFonts w:ascii="Cambria" w:cs="Cambria" w:eastAsia="Cambria" w:hAnsi="Cambria"/>
          <w:b/>
          <w:bCs/>
          <w:color w:val="0B2027"/>
          <w:sz w:val="30"/>
          <w:szCs w:val="30"/>
        </w:rPr>
        <w:t xml:space="preserve">2.  Design rationale</w:t>
      </w:r>
    </w:p>
    <w:p>
      <w:pPr>
        <w:spacing w:after="140" w:line="276"/>
        <w:jc w:val="both"/>
      </w:pPr>
      <w:r>
        <w:rPr>
          <w:rFonts w:ascii="Calibri" w:cs="Calibri" w:eastAsia="Calibri" w:hAnsi="Calibri"/>
          <w:b/>
          <w:bCs/>
          <w:color w:val="026773"/>
          <w:sz w:val="21"/>
          <w:szCs w:val="21"/>
        </w:rPr>
        <w:t xml:space="preserve">Why fitness as the target.  </w:t>
      </w:r>
      <w:r>
        <w:rPr>
          <w:rFonts w:ascii="Calibri" w:cs="Calibri" w:eastAsia="Calibri" w:hAnsi="Calibri"/>
          <w:color w:val="1A2E33"/>
          <w:sz w:val="21"/>
          <w:szCs w:val="21"/>
        </w:rPr>
        <w:t xml:space="preserve">The American Heart Association designates cardiorespiratory fitness a clinical vital sign and judges it at least as strong a predictor of cardiovascular and all-cause mortality as the established risk factors [1]. In a 122,007-patient cohort the mortality hazard of being least-fit exceeded that of coronary disease, smoking, or diabetes individually, with no observed ceiling of benefit [2].</w:t>
      </w:r>
    </w:p>
    <w:p>
      <w:pPr>
        <w:spacing w:after="140" w:line="276"/>
        <w:jc w:val="both"/>
      </w:pPr>
      <w:r>
        <w:rPr>
          <w:rFonts w:ascii="Calibri" w:cs="Calibri" w:eastAsia="Calibri" w:hAnsi="Calibri"/>
          <w:b/>
          <w:bCs/>
          <w:color w:val="026773"/>
          <w:sz w:val="21"/>
          <w:szCs w:val="21"/>
        </w:rPr>
        <w:t xml:space="preserve">Why this population gains most.  </w:t>
      </w:r>
      <w:r>
        <w:rPr>
          <w:rFonts w:ascii="Calibri" w:cs="Calibri" w:eastAsia="Calibri" w:hAnsi="Calibri"/>
          <w:color w:val="1A2E33"/>
          <w:sz w:val="21"/>
          <w:szCs w:val="21"/>
        </w:rPr>
        <w:t xml:space="preserve">The fitness–mortality relationship is steepest at the bottom. The largest absolute risk reduction per metabolic equivalent (MET) occurs moving out of the least-fit stratum [3], and improving fitness over time independently lowers mortality [4]. A deconditioned patient advancing from 4 to 6 METs gains more, in absolute risk terms, than a fit person adding the same increment. Small, achievable gains are therefore clinically meaningful here, which shapes the entire program toward attainable progression rather than peak performance.</w:t>
      </w:r>
    </w:p>
    <w:p>
      <w:pPr>
        <w:spacing w:after="140" w:before="320"/>
      </w:pPr>
      <w:r>
        <w:rPr>
          <w:rFonts w:ascii="Cambria" w:cs="Cambria" w:eastAsia="Cambria" w:hAnsi="Cambria"/>
          <w:b/>
          <w:bCs/>
          <w:color w:val="0B2027"/>
          <w:sz w:val="30"/>
          <w:szCs w:val="30"/>
        </w:rPr>
        <w:t xml:space="preserve">3.  Eligibility and baseline risk stratification</w:t>
      </w:r>
    </w:p>
    <w:p>
      <w:pPr>
        <w:spacing w:after="140" w:line="276"/>
        <w:jc w:val="both"/>
      </w:pPr>
      <w:r>
        <w:rPr>
          <w:rFonts w:ascii="Calibri" w:cs="Calibri" w:eastAsia="Calibri" w:hAnsi="Calibri"/>
          <w:color w:val="1A2E33"/>
          <w:sz w:val="21"/>
          <w:szCs w:val="21"/>
        </w:rPr>
        <w:t xml:space="preserve">This is the highest-risk group to place under prescribed exertion, so entry is gated on safety. Deconditioning, obesity, smoking, and heavy alcohol use together carry a high pretest probability of occult coronary disease, hypertension, and arrhythmia, with alcohol adding both cardiomyopathy and acute atrial fibrillation on the binge-associated “holiday heart” pathway [8]. The transient risk of an acute cardiac event during vigorous exertion is concentrated in the least physically active, even though habitual activity lowers that risk over time [6,7].</w:t>
      </w:r>
    </w:p>
    <w:p>
      <w:pPr>
        <w:spacing w:after="140" w:line="276"/>
        <w:jc w:val="both"/>
      </w:pPr>
      <w:r>
        <w:rPr>
          <w:rFonts w:ascii="Calibri" w:cs="Calibri" w:eastAsia="Calibri" w:hAnsi="Calibri"/>
          <w:b/>
          <w:bCs/>
          <w:color w:val="026773"/>
          <w:sz w:val="21"/>
          <w:szCs w:val="21"/>
        </w:rPr>
        <w:t xml:space="preserve">Screening.  </w:t>
      </w:r>
      <w:r>
        <w:rPr>
          <w:rFonts w:ascii="Calibri" w:cs="Calibri" w:eastAsia="Calibri" w:hAnsi="Calibri"/>
          <w:color w:val="1A2E33"/>
          <w:sz w:val="21"/>
          <w:szCs w:val="21"/>
        </w:rPr>
        <w:t xml:space="preserve">All candidates complete exercise pre-participation screening consistent with current ACSM recommendations [5], evaluating current activity level, known cardiovascular, metabolic, or renal disease, signs or symptoms, and intended intensity.</w:t>
      </w:r>
    </w:p>
    <w:p>
      <w:pPr>
        <w:spacing w:after="140" w:line="276"/>
        <w:jc w:val="both"/>
      </w:pPr>
      <w:r>
        <w:rPr>
          <w:rFonts w:ascii="Calibri" w:cs="Calibri" w:eastAsia="Calibri" w:hAnsi="Calibri"/>
          <w:b/>
          <w:bCs/>
          <w:color w:val="026773"/>
          <w:sz w:val="21"/>
          <w:szCs w:val="21"/>
        </w:rPr>
        <w:t xml:space="preserve">Escalation to supervised testing.  </w:t>
      </w:r>
      <w:r>
        <w:rPr>
          <w:rFonts w:ascii="Calibri" w:cs="Calibri" w:eastAsia="Calibri" w:hAnsi="Calibri"/>
          <w:color w:val="1A2E33"/>
          <w:sz w:val="21"/>
          <w:szCs w:val="21"/>
        </w:rPr>
        <w:t xml:space="preserve">Symptomatic candidates and those with known or strongly suspected cardiovascular disease are referred for a medically supervised graded exercise test, ideally cardiopulmonary exercise testing (CPET). This clears them for exertion and simultaneously establishes the true, directly measured VO₂ max anchor that free-living estimates are later calibrated against. Intensity is earned through demonstrated tolerance; it is never assumed at baseline.</w:t>
      </w:r>
    </w:p>
    <w:p>
      <w:pPr>
        <w:spacing w:after="140" w:before="320"/>
      </w:pPr>
      <w:r>
        <w:rPr>
          <w:rFonts w:ascii="Cambria" w:cs="Cambria" w:eastAsia="Cambria" w:hAnsi="Cambria"/>
          <w:b/>
          <w:bCs/>
          <w:color w:val="0B2027"/>
          <w:sz w:val="30"/>
          <w:szCs w:val="30"/>
        </w:rPr>
        <w:t xml:space="preserve">4.  Baseline measurement and estimation caveats</w:t>
      </w:r>
    </w:p>
    <w:p>
      <w:pPr>
        <w:spacing w:after="140" w:line="276"/>
        <w:jc w:val="both"/>
      </w:pPr>
      <w:r>
        <w:rPr>
          <w:rFonts w:ascii="Calibri" w:cs="Calibri" w:eastAsia="Calibri" w:hAnsi="Calibri"/>
          <w:color w:val="1A2E33"/>
          <w:sz w:val="21"/>
          <w:szCs w:val="21"/>
        </w:rPr>
        <w:t xml:space="preserve">In this exact population the wearable VO₂ max estimate is at its least reliable, because every driver of the patient’s risk also corrupts the heart-rate-to-oxygen-uptake relationship that non-laboratory estimation depends on. Whatever the source, an estimated value is only interpretable as normal or abnormal against population-appropriate normative standards for age, sex, and body weight [10]. The protocol states the confounds openly and designs around them.</w:t>
      </w:r>
    </w:p>
    <w:p>
      <w:pPr>
        <w:spacing w:after="140" w:line="276"/>
        <w:jc w:val="both"/>
      </w:pPr>
      <w:r>
        <w:rPr>
          <w:rFonts w:ascii="Calibri" w:cs="Calibri" w:eastAsia="Calibri" w:hAnsi="Calibri"/>
          <w:b/>
          <w:bCs/>
          <w:color w:val="026773"/>
          <w:sz w:val="21"/>
          <w:szCs w:val="21"/>
        </w:rPr>
        <w:t xml:space="preserve">Smoking.  </w:t>
      </w:r>
      <w:r>
        <w:rPr>
          <w:rFonts w:ascii="Calibri" w:cs="Calibri" w:eastAsia="Calibri" w:hAnsi="Calibri"/>
          <w:color w:val="1A2E33"/>
          <w:sz w:val="21"/>
          <w:szCs w:val="21"/>
        </w:rPr>
        <w:t xml:space="preserve">Carbon monoxide raises carboxyhemoglobin and lowers true VO₂ max roughly in proportion to the reduction in arterial oxygen content, a fitness-independent depression of the measured value that reverses as carboxyhemoglobin clears after cessation [9]. Nicotine also elevates resting and submaximal heart rate.</w:t>
      </w:r>
    </w:p>
    <w:p>
      <w:pPr>
        <w:spacing w:after="140" w:line="276"/>
        <w:jc w:val="both"/>
      </w:pPr>
      <w:r>
        <w:rPr>
          <w:rFonts w:ascii="Calibri" w:cs="Calibri" w:eastAsia="Calibri" w:hAnsi="Calibri"/>
          <w:b/>
          <w:bCs/>
          <w:color w:val="026773"/>
          <w:sz w:val="21"/>
          <w:szCs w:val="21"/>
        </w:rPr>
        <w:t xml:space="preserve">Alcohol.  </w:t>
      </w:r>
      <w:r>
        <w:rPr>
          <w:rFonts w:ascii="Calibri" w:cs="Calibri" w:eastAsia="Calibri" w:hAnsi="Calibri"/>
          <w:color w:val="1A2E33"/>
          <w:sz w:val="21"/>
          <w:szCs w:val="21"/>
        </w:rPr>
        <w:t xml:space="preserve">Autonomic effects distort heart-rate reserve, degrading any estimate that assumes a normal heart-rate-to-VO₂ slope.</w:t>
      </w:r>
    </w:p>
    <w:p>
      <w:pPr>
        <w:spacing w:after="140" w:line="276"/>
        <w:jc w:val="both"/>
      </w:pPr>
      <w:r>
        <w:rPr>
          <w:rFonts w:ascii="Calibri" w:cs="Calibri" w:eastAsia="Calibri" w:hAnsi="Calibri"/>
          <w:b/>
          <w:bCs/>
          <w:color w:val="026773"/>
          <w:sz w:val="21"/>
          <w:szCs w:val="21"/>
        </w:rPr>
        <w:t xml:space="preserve">Adiposity.  </w:t>
      </w:r>
      <w:r>
        <w:rPr>
          <w:rFonts w:ascii="Calibri" w:cs="Calibri" w:eastAsia="Calibri" w:hAnsi="Calibri"/>
          <w:color w:val="1A2E33"/>
          <w:sz w:val="21"/>
          <w:szCs w:val="21"/>
        </w:rPr>
        <w:t xml:space="preserve">Weight-normalized VO₂ (mL·kg⁻¹·min⁻¹) is mechanically deflated by high fat mass, so the patient looks unfit partly because of the denominator.</w:t>
      </w:r>
    </w:p>
    <w:p>
      <w:pPr>
        <w:spacing w:after="140" w:line="276"/>
        <w:jc w:val="both"/>
      </w:pPr>
      <w:r>
        <w:rPr>
          <w:rFonts w:ascii="Calibri" w:cs="Calibri" w:eastAsia="Calibri" w:hAnsi="Calibri"/>
          <w:b/>
          <w:bCs/>
          <w:color w:val="026773"/>
          <w:sz w:val="21"/>
          <w:szCs w:val="21"/>
        </w:rPr>
        <w:t xml:space="preserve">Operational response.  </w:t>
      </w:r>
      <w:r>
        <w:rPr>
          <w:rFonts w:ascii="Calibri" w:cs="Calibri" w:eastAsia="Calibri" w:hAnsi="Calibri"/>
          <w:color w:val="1A2E33"/>
          <w:sz w:val="21"/>
          <w:szCs w:val="21"/>
        </w:rPr>
        <w:t xml:space="preserve">Anchor to the supervised baseline; track absolute VO₂ (L·min⁻¹) and a fat-free-mass-indexed value alongside the weight-normalized number so that genuine cardiorespiratory adaptation is separated from weight loss; and treat early free-living readings as trend, not truth, until the confounders begin to clear. Free-living longitudinal estimation is feasible at cohort scale [19], but its accuracy improves as this population stabilizes.</w:t>
      </w:r>
    </w:p>
    <w:p>
      <w:pPr>
        <w:spacing w:after="140" w:before="320"/>
      </w:pPr>
      <w:r>
        <w:rPr>
          <w:rFonts w:ascii="Cambria" w:cs="Cambria" w:eastAsia="Cambria" w:hAnsi="Cambria"/>
          <w:b/>
          <w:bCs/>
          <w:color w:val="0B2027"/>
          <w:sz w:val="30"/>
          <w:szCs w:val="30"/>
        </w:rPr>
        <w:t xml:space="preserve">5.  Phased training prescription</w:t>
      </w:r>
    </w:p>
    <w:p>
      <w:pPr>
        <w:spacing w:after="140" w:line="276"/>
        <w:jc w:val="both"/>
      </w:pPr>
      <w:r>
        <w:rPr>
          <w:rFonts w:ascii="Calibri" w:cs="Calibri" w:eastAsia="Calibri" w:hAnsi="Calibri"/>
          <w:color w:val="1A2E33"/>
          <w:sz w:val="21"/>
          <w:szCs w:val="21"/>
        </w:rPr>
        <w:t xml:space="preserve">Training is sequenced so that volume, habit, and safety precede intensity. The two phases below are targets, not fixed calendars; a patient advances when tolerance and adherence, not the clock, allow.</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80"/>
        <w:gridCol w:w="1360"/>
        <w:gridCol w:w="3260"/>
        <w:gridCol w:w="1560"/>
        <w:gridCol w:w="2000"/>
      </w:tblGrid>
      <w:tr>
        <w:trPr>
          <w:tblHeader/>
        </w:trPr>
        <w:tc>
          <w:tcPr>
            <w:tcW w:type="dxa" w:w="1180"/>
            <w:tcBorders>
              <w:top w:val="single" w:color="9FB6BA" w:sz="4"/>
              <w:left w:val="none" w:color="FFFFFF" w:sz="0"/>
              <w:bottom w:val="single" w:color="9FB6BA" w:sz="4"/>
              <w:right w:val="none" w:color="FFFFFF" w:sz="0"/>
            </w:tcBorders>
            <w:shd w:fill="EAF2F3" w:color="auto" w:val="clear"/>
            <w:tcMar>
              <w:top w:type="dxa" w:w="60"/>
              <w:left w:type="dxa" w:w="110"/>
              <w:bottom w:type="dxa" w:w="60"/>
              <w:right w:type="dxa" w:w="110"/>
            </w:tcMar>
          </w:tcPr>
          <w:p>
            <w:pPr>
              <w:spacing w:after="0" w:line="252"/>
            </w:pPr>
            <w:r>
              <w:rPr>
                <w:rFonts w:ascii="Calibri" w:cs="Calibri" w:eastAsia="Calibri" w:hAnsi="Calibri"/>
                <w:b/>
                <w:bCs/>
                <w:color w:val="0B2027"/>
                <w:sz w:val="18"/>
                <w:szCs w:val="18"/>
              </w:rPr>
              <w:t xml:space="preserve">Phase</w:t>
            </w:r>
          </w:p>
        </w:tc>
        <w:tc>
          <w:tcPr>
            <w:tcW w:type="dxa" w:w="1360"/>
            <w:tcBorders>
              <w:top w:val="single" w:color="9FB6BA" w:sz="4"/>
              <w:left w:val="none" w:color="FFFFFF" w:sz="0"/>
              <w:bottom w:val="single" w:color="9FB6BA" w:sz="4"/>
              <w:right w:val="none" w:color="FFFFFF" w:sz="0"/>
            </w:tcBorders>
            <w:shd w:fill="EAF2F3" w:color="auto" w:val="clear"/>
            <w:tcMar>
              <w:top w:type="dxa" w:w="60"/>
              <w:left w:type="dxa" w:w="110"/>
              <w:bottom w:type="dxa" w:w="60"/>
              <w:right w:type="dxa" w:w="110"/>
            </w:tcMar>
          </w:tcPr>
          <w:p>
            <w:pPr>
              <w:spacing w:after="0" w:line="252"/>
            </w:pPr>
            <w:r>
              <w:rPr>
                <w:rFonts w:ascii="Calibri" w:cs="Calibri" w:eastAsia="Calibri" w:hAnsi="Calibri"/>
                <w:b/>
                <w:bCs/>
                <w:color w:val="0B2027"/>
                <w:sz w:val="18"/>
                <w:szCs w:val="18"/>
              </w:rPr>
              <w:t xml:space="preserve">Timeframe</w:t>
            </w:r>
          </w:p>
        </w:tc>
        <w:tc>
          <w:tcPr>
            <w:tcW w:type="dxa" w:w="3260"/>
            <w:tcBorders>
              <w:top w:val="single" w:color="9FB6BA" w:sz="4"/>
              <w:left w:val="none" w:color="FFFFFF" w:sz="0"/>
              <w:bottom w:val="single" w:color="9FB6BA" w:sz="4"/>
              <w:right w:val="none" w:color="FFFFFF" w:sz="0"/>
            </w:tcBorders>
            <w:shd w:fill="EAF2F3" w:color="auto" w:val="clear"/>
            <w:tcMar>
              <w:top w:type="dxa" w:w="60"/>
              <w:left w:type="dxa" w:w="110"/>
              <w:bottom w:type="dxa" w:w="60"/>
              <w:right w:type="dxa" w:w="110"/>
            </w:tcMar>
          </w:tcPr>
          <w:p>
            <w:pPr>
              <w:spacing w:after="0" w:line="252"/>
            </w:pPr>
            <w:r>
              <w:rPr>
                <w:rFonts w:ascii="Calibri" w:cs="Calibri" w:eastAsia="Calibri" w:hAnsi="Calibri"/>
                <w:b/>
                <w:bCs/>
                <w:color w:val="0B2027"/>
                <w:sz w:val="18"/>
                <w:szCs w:val="18"/>
              </w:rPr>
              <w:t xml:space="preserve">Prescription</w:t>
            </w:r>
          </w:p>
        </w:tc>
        <w:tc>
          <w:tcPr>
            <w:tcW w:type="dxa" w:w="1560"/>
            <w:tcBorders>
              <w:top w:val="single" w:color="9FB6BA" w:sz="4"/>
              <w:left w:val="none" w:color="FFFFFF" w:sz="0"/>
              <w:bottom w:val="single" w:color="9FB6BA" w:sz="4"/>
              <w:right w:val="none" w:color="FFFFFF" w:sz="0"/>
            </w:tcBorders>
            <w:shd w:fill="EAF2F3" w:color="auto" w:val="clear"/>
            <w:tcMar>
              <w:top w:type="dxa" w:w="60"/>
              <w:left w:type="dxa" w:w="110"/>
              <w:bottom w:type="dxa" w:w="60"/>
              <w:right w:type="dxa" w:w="110"/>
            </w:tcMar>
          </w:tcPr>
          <w:p>
            <w:pPr>
              <w:spacing w:after="0" w:line="252"/>
            </w:pPr>
            <w:r>
              <w:rPr>
                <w:rFonts w:ascii="Calibri" w:cs="Calibri" w:eastAsia="Calibri" w:hAnsi="Calibri"/>
                <w:b/>
                <w:bCs/>
                <w:color w:val="0B2027"/>
                <w:sz w:val="18"/>
                <w:szCs w:val="18"/>
              </w:rPr>
              <w:t xml:space="preserve">Intensity</w:t>
            </w:r>
          </w:p>
        </w:tc>
        <w:tc>
          <w:tcPr>
            <w:tcW w:type="dxa" w:w="2000"/>
            <w:tcBorders>
              <w:top w:val="single" w:color="9FB6BA" w:sz="4"/>
              <w:left w:val="none" w:color="FFFFFF" w:sz="0"/>
              <w:bottom w:val="single" w:color="9FB6BA" w:sz="4"/>
              <w:right w:val="none" w:color="FFFFFF" w:sz="0"/>
            </w:tcBorders>
            <w:shd w:fill="EAF2F3" w:color="auto" w:val="clear"/>
            <w:tcMar>
              <w:top w:type="dxa" w:w="60"/>
              <w:left w:type="dxa" w:w="110"/>
              <w:bottom w:type="dxa" w:w="60"/>
              <w:right w:type="dxa" w:w="110"/>
            </w:tcMar>
          </w:tcPr>
          <w:p>
            <w:pPr>
              <w:spacing w:after="0" w:line="252"/>
            </w:pPr>
            <w:r>
              <w:rPr>
                <w:rFonts w:ascii="Calibri" w:cs="Calibri" w:eastAsia="Calibri" w:hAnsi="Calibri"/>
                <w:b/>
                <w:bCs/>
                <w:color w:val="0B2027"/>
                <w:sz w:val="18"/>
                <w:szCs w:val="18"/>
              </w:rPr>
              <w:t xml:space="preserve">Primary goal</w:t>
            </w:r>
          </w:p>
        </w:tc>
      </w:tr>
      <w:tr>
        <w:tc>
          <w:tcPr>
            <w:tcW w:type="dxa" w:w="1180"/>
            <w:tcBorders>
              <w:top w:val="single" w:color="9FB6BA" w:sz="4"/>
              <w:left w:val="none" w:color="FFFFFF" w:sz="0"/>
              <w:bottom w:val="single" w:color="9FB6BA" w:sz="4"/>
              <w:right w:val="none" w:color="FFFFFF" w:sz="0"/>
            </w:tcBorders>
            <w:tcMar>
              <w:top w:type="dxa" w:w="60"/>
              <w:left w:type="dxa" w:w="110"/>
              <w:bottom w:type="dxa" w:w="60"/>
              <w:right w:type="dxa" w:w="110"/>
            </w:tcMar>
          </w:tcPr>
          <w:p>
            <w:pPr>
              <w:spacing w:after="0" w:line="252"/>
            </w:pPr>
            <w:r>
              <w:rPr>
                <w:rFonts w:ascii="Calibri" w:cs="Calibri" w:eastAsia="Calibri" w:hAnsi="Calibri"/>
                <w:b/>
                <w:bCs/>
                <w:color w:val="1A2E33"/>
                <w:sz w:val="18"/>
                <w:szCs w:val="18"/>
              </w:rPr>
              <w:t xml:space="preserve">Phase 1 — base &amp; habit</w:t>
            </w:r>
          </w:p>
        </w:tc>
        <w:tc>
          <w:tcPr>
            <w:tcW w:type="dxa" w:w="1360"/>
            <w:tcBorders>
              <w:top w:val="single" w:color="9FB6BA" w:sz="4"/>
              <w:left w:val="none" w:color="FFFFFF" w:sz="0"/>
              <w:bottom w:val="single" w:color="9FB6BA" w:sz="4"/>
              <w:right w:val="none" w:color="FFFFFF" w:sz="0"/>
            </w:tcBorders>
            <w:tcMar>
              <w:top w:type="dxa" w:w="60"/>
              <w:left w:type="dxa" w:w="110"/>
              <w:bottom w:type="dxa" w:w="60"/>
              <w:right w:type="dxa" w:w="110"/>
            </w:tcMar>
          </w:tcPr>
          <w:p>
            <w:pPr>
              <w:spacing w:after="0" w:line="252"/>
            </w:pPr>
            <w:r>
              <w:rPr>
                <w:rFonts w:ascii="Calibri" w:cs="Calibri" w:eastAsia="Calibri" w:hAnsi="Calibri"/>
                <w:b w:val="false"/>
                <w:bCs w:val="false"/>
                <w:color w:val="1A2E33"/>
                <w:sz w:val="18"/>
                <w:szCs w:val="18"/>
              </w:rPr>
              <w:t xml:space="preserve">Weeks 0–8+</w:t>
            </w:r>
          </w:p>
        </w:tc>
        <w:tc>
          <w:tcPr>
            <w:tcW w:type="dxa" w:w="3260"/>
            <w:tcBorders>
              <w:top w:val="single" w:color="9FB6BA" w:sz="4"/>
              <w:left w:val="none" w:color="FFFFFF" w:sz="0"/>
              <w:bottom w:val="single" w:color="9FB6BA" w:sz="4"/>
              <w:right w:val="none" w:color="FFFFFF" w:sz="0"/>
            </w:tcBorders>
            <w:tcMar>
              <w:top w:type="dxa" w:w="60"/>
              <w:left w:type="dxa" w:w="110"/>
              <w:bottom w:type="dxa" w:w="60"/>
              <w:right w:type="dxa" w:w="110"/>
            </w:tcMar>
          </w:tcPr>
          <w:p>
            <w:pPr>
              <w:spacing w:after="0" w:line="252"/>
            </w:pPr>
            <w:r>
              <w:rPr>
                <w:rFonts w:ascii="Calibri" w:cs="Calibri" w:eastAsia="Calibri" w:hAnsi="Calibri"/>
                <w:b w:val="false"/>
                <w:bCs w:val="false"/>
                <w:color w:val="1A2E33"/>
                <w:sz w:val="18"/>
                <w:szCs w:val="18"/>
              </w:rPr>
              <w:t xml:space="preserve">Low-impact aerobic (incline walking, cycling, water-based) most days; light resistance training 2–3×/week</w:t>
            </w:r>
          </w:p>
        </w:tc>
        <w:tc>
          <w:tcPr>
            <w:tcW w:type="dxa" w:w="1560"/>
            <w:tcBorders>
              <w:top w:val="single" w:color="9FB6BA" w:sz="4"/>
              <w:left w:val="none" w:color="FFFFFF" w:sz="0"/>
              <w:bottom w:val="single" w:color="9FB6BA" w:sz="4"/>
              <w:right w:val="none" w:color="FFFFFF" w:sz="0"/>
            </w:tcBorders>
            <w:tcMar>
              <w:top w:type="dxa" w:w="60"/>
              <w:left w:type="dxa" w:w="110"/>
              <w:bottom w:type="dxa" w:w="60"/>
              <w:right w:type="dxa" w:w="110"/>
            </w:tcMar>
          </w:tcPr>
          <w:p>
            <w:pPr>
              <w:spacing w:after="0" w:line="252"/>
            </w:pPr>
            <w:r>
              <w:rPr>
                <w:rFonts w:ascii="Calibri" w:cs="Calibri" w:eastAsia="Calibri" w:hAnsi="Calibri"/>
                <w:b w:val="false"/>
                <w:bCs w:val="false"/>
                <w:color w:val="1A2E33"/>
                <w:sz w:val="18"/>
                <w:szCs w:val="18"/>
              </w:rPr>
              <w:t xml:space="preserve">Low, conversational; RPE 3–4/10</w:t>
            </w:r>
          </w:p>
        </w:tc>
        <w:tc>
          <w:tcPr>
            <w:tcW w:type="dxa" w:w="2000"/>
            <w:tcBorders>
              <w:top w:val="single" w:color="9FB6BA" w:sz="4"/>
              <w:left w:val="none" w:color="FFFFFF" w:sz="0"/>
              <w:bottom w:val="single" w:color="9FB6BA" w:sz="4"/>
              <w:right w:val="none" w:color="FFFFFF" w:sz="0"/>
            </w:tcBorders>
            <w:tcMar>
              <w:top w:type="dxa" w:w="60"/>
              <w:left w:type="dxa" w:w="110"/>
              <w:bottom w:type="dxa" w:w="60"/>
              <w:right w:type="dxa" w:w="110"/>
            </w:tcMar>
          </w:tcPr>
          <w:p>
            <w:pPr>
              <w:spacing w:after="0" w:line="252"/>
            </w:pPr>
            <w:r>
              <w:rPr>
                <w:rFonts w:ascii="Calibri" w:cs="Calibri" w:eastAsia="Calibri" w:hAnsi="Calibri"/>
                <w:b w:val="false"/>
                <w:bCs w:val="false"/>
                <w:color w:val="1A2E33"/>
                <w:sz w:val="18"/>
                <w:szCs w:val="18"/>
              </w:rPr>
              <w:t xml:space="preserve">Tolerance, confidence, formed habit, joint protection</w:t>
            </w:r>
          </w:p>
        </w:tc>
      </w:tr>
      <w:tr>
        <w:tc>
          <w:tcPr>
            <w:tcW w:type="dxa" w:w="1180"/>
            <w:tcBorders>
              <w:top w:val="single" w:color="9FB6BA" w:sz="4"/>
              <w:left w:val="none" w:color="FFFFFF" w:sz="0"/>
              <w:bottom w:val="single" w:color="9FB6BA" w:sz="4"/>
              <w:right w:val="none" w:color="FFFFFF" w:sz="0"/>
            </w:tcBorders>
            <w:tcMar>
              <w:top w:type="dxa" w:w="60"/>
              <w:left w:type="dxa" w:w="110"/>
              <w:bottom w:type="dxa" w:w="60"/>
              <w:right w:type="dxa" w:w="110"/>
            </w:tcMar>
          </w:tcPr>
          <w:p>
            <w:pPr>
              <w:spacing w:after="0" w:line="252"/>
            </w:pPr>
            <w:r>
              <w:rPr>
                <w:rFonts w:ascii="Calibri" w:cs="Calibri" w:eastAsia="Calibri" w:hAnsi="Calibri"/>
                <w:b/>
                <w:bCs/>
                <w:color w:val="1A2E33"/>
                <w:sz w:val="18"/>
                <w:szCs w:val="18"/>
              </w:rPr>
              <w:t xml:space="preserve">Phase 2 — intensity &amp; load</w:t>
            </w:r>
          </w:p>
        </w:tc>
        <w:tc>
          <w:tcPr>
            <w:tcW w:type="dxa" w:w="1360"/>
            <w:tcBorders>
              <w:top w:val="single" w:color="9FB6BA" w:sz="4"/>
              <w:left w:val="none" w:color="FFFFFF" w:sz="0"/>
              <w:bottom w:val="single" w:color="9FB6BA" w:sz="4"/>
              <w:right w:val="none" w:color="FFFFFF" w:sz="0"/>
            </w:tcBorders>
            <w:tcMar>
              <w:top w:type="dxa" w:w="60"/>
              <w:left w:type="dxa" w:w="110"/>
              <w:bottom w:type="dxa" w:w="60"/>
              <w:right w:type="dxa" w:w="110"/>
            </w:tcMar>
          </w:tcPr>
          <w:p>
            <w:pPr>
              <w:spacing w:after="0" w:line="252"/>
            </w:pPr>
            <w:r>
              <w:rPr>
                <w:rFonts w:ascii="Calibri" w:cs="Calibri" w:eastAsia="Calibri" w:hAnsi="Calibri"/>
                <w:b w:val="false"/>
                <w:bCs w:val="false"/>
                <w:color w:val="1A2E33"/>
                <w:sz w:val="18"/>
                <w:szCs w:val="18"/>
              </w:rPr>
              <w:t xml:space="preserve">Week 8 onward (once screened &amp; tolerant)</w:t>
            </w:r>
          </w:p>
        </w:tc>
        <w:tc>
          <w:tcPr>
            <w:tcW w:type="dxa" w:w="3260"/>
            <w:tcBorders>
              <w:top w:val="single" w:color="9FB6BA" w:sz="4"/>
              <w:left w:val="none" w:color="FFFFFF" w:sz="0"/>
              <w:bottom w:val="single" w:color="9FB6BA" w:sz="4"/>
              <w:right w:val="none" w:color="FFFFFF" w:sz="0"/>
            </w:tcBorders>
            <w:tcMar>
              <w:top w:type="dxa" w:w="60"/>
              <w:left w:type="dxa" w:w="110"/>
              <w:bottom w:type="dxa" w:w="60"/>
              <w:right w:type="dxa" w:w="110"/>
            </w:tcMar>
          </w:tcPr>
          <w:p>
            <w:pPr>
              <w:spacing w:after="0" w:line="252"/>
            </w:pPr>
            <w:r>
              <w:rPr>
                <w:rFonts w:ascii="Calibri" w:cs="Calibri" w:eastAsia="Calibri" w:hAnsi="Calibri"/>
                <w:b w:val="false"/>
                <w:bCs w:val="false"/>
                <w:color w:val="1A2E33"/>
                <w:sz w:val="18"/>
                <w:szCs w:val="18"/>
              </w:rPr>
              <w:t xml:space="preserve">Add interval training 2–3×/week; progress resistance load; maintain aerobic base</w:t>
            </w:r>
          </w:p>
        </w:tc>
        <w:tc>
          <w:tcPr>
            <w:tcW w:type="dxa" w:w="1560"/>
            <w:tcBorders>
              <w:top w:val="single" w:color="9FB6BA" w:sz="4"/>
              <w:left w:val="none" w:color="FFFFFF" w:sz="0"/>
              <w:bottom w:val="single" w:color="9FB6BA" w:sz="4"/>
              <w:right w:val="none" w:color="FFFFFF" w:sz="0"/>
            </w:tcBorders>
            <w:tcMar>
              <w:top w:type="dxa" w:w="60"/>
              <w:left w:type="dxa" w:w="110"/>
              <w:bottom w:type="dxa" w:w="60"/>
              <w:right w:type="dxa" w:w="110"/>
            </w:tcMar>
          </w:tcPr>
          <w:p>
            <w:pPr>
              <w:spacing w:after="0" w:line="252"/>
            </w:pPr>
            <w:r>
              <w:rPr>
                <w:rFonts w:ascii="Calibri" w:cs="Calibri" w:eastAsia="Calibri" w:hAnsi="Calibri"/>
                <w:b w:val="false"/>
                <w:bCs w:val="false"/>
                <w:color w:val="1A2E33"/>
                <w:sz w:val="18"/>
                <w:szCs w:val="18"/>
              </w:rPr>
              <w:t xml:space="preserve">Moderate–high intervals as tolerated</w:t>
            </w:r>
          </w:p>
        </w:tc>
        <w:tc>
          <w:tcPr>
            <w:tcW w:type="dxa" w:w="2000"/>
            <w:tcBorders>
              <w:top w:val="single" w:color="9FB6BA" w:sz="4"/>
              <w:left w:val="none" w:color="FFFFFF" w:sz="0"/>
              <w:bottom w:val="single" w:color="9FB6BA" w:sz="4"/>
              <w:right w:val="none" w:color="FFFFFF" w:sz="0"/>
            </w:tcBorders>
            <w:tcMar>
              <w:top w:type="dxa" w:w="60"/>
              <w:left w:type="dxa" w:w="110"/>
              <w:bottom w:type="dxa" w:w="60"/>
              <w:right w:type="dxa" w:w="110"/>
            </w:tcMar>
          </w:tcPr>
          <w:p>
            <w:pPr>
              <w:spacing w:after="0" w:line="252"/>
            </w:pPr>
            <w:r>
              <w:rPr>
                <w:rFonts w:ascii="Calibri" w:cs="Calibri" w:eastAsia="Calibri" w:hAnsi="Calibri"/>
                <w:b w:val="false"/>
                <w:bCs w:val="false"/>
                <w:color w:val="1A2E33"/>
                <w:sz w:val="18"/>
                <w:szCs w:val="18"/>
              </w:rPr>
              <w:t xml:space="preserve">VO₂ max gain plus glucose, blood pressure, waist, body-fat improvement</w:t>
            </w:r>
          </w:p>
        </w:tc>
      </w:tr>
      <w:tr>
        <w:tc>
          <w:tcPr>
            <w:tcW w:type="dxa" w:w="1180"/>
            <w:tcBorders>
              <w:top w:val="single" w:color="9FB6BA" w:sz="4"/>
              <w:left w:val="none" w:color="FFFFFF" w:sz="0"/>
              <w:bottom w:val="single" w:color="9FB6BA" w:sz="4"/>
              <w:right w:val="none" w:color="FFFFFF" w:sz="0"/>
            </w:tcBorders>
            <w:tcMar>
              <w:top w:type="dxa" w:w="60"/>
              <w:left w:type="dxa" w:w="110"/>
              <w:bottom w:type="dxa" w:w="60"/>
              <w:right w:type="dxa" w:w="110"/>
            </w:tcMar>
          </w:tcPr>
          <w:p>
            <w:pPr>
              <w:spacing w:after="0" w:line="252"/>
            </w:pPr>
            <w:r>
              <w:rPr>
                <w:rFonts w:ascii="Calibri" w:cs="Calibri" w:eastAsia="Calibri" w:hAnsi="Calibri"/>
                <w:b/>
                <w:bCs/>
                <w:color w:val="1A2E33"/>
                <w:sz w:val="18"/>
                <w:szCs w:val="18"/>
              </w:rPr>
              <w:t xml:space="preserve">Adjunct — both phases</w:t>
            </w:r>
          </w:p>
        </w:tc>
        <w:tc>
          <w:tcPr>
            <w:tcW w:type="dxa" w:w="1360"/>
            <w:tcBorders>
              <w:top w:val="single" w:color="9FB6BA" w:sz="4"/>
              <w:left w:val="none" w:color="FFFFFF" w:sz="0"/>
              <w:bottom w:val="single" w:color="9FB6BA" w:sz="4"/>
              <w:right w:val="none" w:color="FFFFFF" w:sz="0"/>
            </w:tcBorders>
            <w:tcMar>
              <w:top w:type="dxa" w:w="60"/>
              <w:left w:type="dxa" w:w="110"/>
              <w:bottom w:type="dxa" w:w="60"/>
              <w:right w:type="dxa" w:w="110"/>
            </w:tcMar>
          </w:tcPr>
          <w:p>
            <w:pPr>
              <w:spacing w:after="0" w:line="252"/>
            </w:pPr>
            <w:r>
              <w:rPr>
                <w:rFonts w:ascii="Calibri" w:cs="Calibri" w:eastAsia="Calibri" w:hAnsi="Calibri"/>
                <w:b w:val="false"/>
                <w:bCs w:val="false"/>
                <w:color w:val="1A2E33"/>
                <w:sz w:val="18"/>
                <w:szCs w:val="18"/>
              </w:rPr>
              <w:t xml:space="preserve">Daily</w:t>
            </w:r>
          </w:p>
        </w:tc>
        <w:tc>
          <w:tcPr>
            <w:tcW w:type="dxa" w:w="3260"/>
            <w:tcBorders>
              <w:top w:val="single" w:color="9FB6BA" w:sz="4"/>
              <w:left w:val="none" w:color="FFFFFF" w:sz="0"/>
              <w:bottom w:val="single" w:color="9FB6BA" w:sz="4"/>
              <w:right w:val="none" w:color="FFFFFF" w:sz="0"/>
            </w:tcBorders>
            <w:tcMar>
              <w:top w:type="dxa" w:w="60"/>
              <w:left w:type="dxa" w:w="110"/>
              <w:bottom w:type="dxa" w:w="60"/>
              <w:right w:type="dxa" w:w="110"/>
            </w:tcMar>
          </w:tcPr>
          <w:p>
            <w:pPr>
              <w:spacing w:after="0" w:line="252"/>
            </w:pPr>
            <w:r>
              <w:rPr>
                <w:rFonts w:ascii="Calibri" w:cs="Calibri" w:eastAsia="Calibri" w:hAnsi="Calibri"/>
                <w:b w:val="false"/>
                <w:bCs w:val="false"/>
                <w:color w:val="1A2E33"/>
                <w:sz w:val="18"/>
                <w:szCs w:val="18"/>
              </w:rPr>
              <w:t xml:space="preserve">10–15 min walking immediately after meals</w:t>
            </w:r>
          </w:p>
        </w:tc>
        <w:tc>
          <w:tcPr>
            <w:tcW w:type="dxa" w:w="1560"/>
            <w:tcBorders>
              <w:top w:val="single" w:color="9FB6BA" w:sz="4"/>
              <w:left w:val="none" w:color="FFFFFF" w:sz="0"/>
              <w:bottom w:val="single" w:color="9FB6BA" w:sz="4"/>
              <w:right w:val="none" w:color="FFFFFF" w:sz="0"/>
            </w:tcBorders>
            <w:tcMar>
              <w:top w:type="dxa" w:w="60"/>
              <w:left w:type="dxa" w:w="110"/>
              <w:bottom w:type="dxa" w:w="60"/>
              <w:right w:type="dxa" w:w="110"/>
            </w:tcMar>
          </w:tcPr>
          <w:p>
            <w:pPr>
              <w:spacing w:after="0" w:line="252"/>
            </w:pPr>
            <w:r>
              <w:rPr>
                <w:rFonts w:ascii="Calibri" w:cs="Calibri" w:eastAsia="Calibri" w:hAnsi="Calibri"/>
                <w:b w:val="false"/>
                <w:bCs w:val="false"/>
                <w:color w:val="1A2E33"/>
                <w:sz w:val="18"/>
                <w:szCs w:val="18"/>
              </w:rPr>
              <w:t xml:space="preserve">Light</w:t>
            </w:r>
          </w:p>
        </w:tc>
        <w:tc>
          <w:tcPr>
            <w:tcW w:type="dxa" w:w="2000"/>
            <w:tcBorders>
              <w:top w:val="single" w:color="9FB6BA" w:sz="4"/>
              <w:left w:val="none" w:color="FFFFFF" w:sz="0"/>
              <w:bottom w:val="single" w:color="9FB6BA" w:sz="4"/>
              <w:right w:val="none" w:color="FFFFFF" w:sz="0"/>
            </w:tcBorders>
            <w:tcMar>
              <w:top w:type="dxa" w:w="60"/>
              <w:left w:type="dxa" w:w="110"/>
              <w:bottom w:type="dxa" w:w="60"/>
              <w:right w:type="dxa" w:w="110"/>
            </w:tcMar>
          </w:tcPr>
          <w:p>
            <w:pPr>
              <w:spacing w:after="0" w:line="252"/>
            </w:pPr>
            <w:r>
              <w:rPr>
                <w:rFonts w:ascii="Calibri" w:cs="Calibri" w:eastAsia="Calibri" w:hAnsi="Calibri"/>
                <w:b w:val="false"/>
                <w:bCs w:val="false"/>
                <w:color w:val="1A2E33"/>
                <w:sz w:val="18"/>
                <w:szCs w:val="18"/>
              </w:rPr>
              <w:t xml:space="preserve">Blunt postprandial glucose excursions</w:t>
            </w:r>
          </w:p>
        </w:tc>
      </w:tr>
    </w:tbl>
    <w:p>
      <w:pPr>
        <w:spacing w:after="80"/>
      </w:pPr>
    </w:p>
    <w:p>
      <w:pPr>
        <w:spacing w:after="140" w:line="276"/>
        <w:jc w:val="both"/>
      </w:pPr>
      <w:r>
        <w:rPr>
          <w:rFonts w:ascii="Calibri" w:cs="Calibri" w:eastAsia="Calibri" w:hAnsi="Calibri"/>
          <w:b/>
          <w:bCs/>
          <w:color w:val="026773"/>
          <w:sz w:val="21"/>
          <w:szCs w:val="21"/>
        </w:rPr>
        <w:t xml:space="preserve">Phase 1 rationale.  </w:t>
      </w:r>
      <w:r>
        <w:rPr>
          <w:rFonts w:ascii="Calibri" w:cs="Calibri" w:eastAsia="Calibri" w:hAnsi="Calibri"/>
          <w:color w:val="1A2E33"/>
          <w:sz w:val="21"/>
          <w:szCs w:val="21"/>
        </w:rPr>
        <w:t xml:space="preserve">Low-intensity, high-frequency, low-impact work builds an aerobic base while protecting deconditioned joints and avoiding the injury that ends adherence. Resistance training is introduced early, not late, because added muscle mass improves insulin sensitivity and preserves fat-free mass, which raises VO₂ per kilogram as weight falls [12].</w:t>
      </w:r>
    </w:p>
    <w:p>
      <w:pPr>
        <w:spacing w:after="140" w:line="276"/>
        <w:jc w:val="both"/>
      </w:pPr>
      <w:r>
        <w:rPr>
          <w:rFonts w:ascii="Calibri" w:cs="Calibri" w:eastAsia="Calibri" w:hAnsi="Calibri"/>
          <w:b/>
          <w:bCs/>
          <w:color w:val="026773"/>
          <w:sz w:val="21"/>
          <w:szCs w:val="21"/>
        </w:rPr>
        <w:t xml:space="preserve">Phase 2 rationale.  </w:t>
      </w:r>
      <w:r>
        <w:rPr>
          <w:rFonts w:ascii="Calibri" w:cs="Calibri" w:eastAsia="Calibri" w:hAnsi="Calibri"/>
          <w:color w:val="1A2E33"/>
          <w:sz w:val="21"/>
          <w:szCs w:val="21"/>
        </w:rPr>
        <w:t xml:space="preserve">Interval training is the highest-yield modality once the patient is cleared and tolerant: programs of twelve weeks or longer produce large VO₂ max gains together with improvements in glucose, blood pressure, waist circumference, and body-fat percentage [11]. Structured exercise lowers HbA1c independent of medication change [13], and post-meal walking is a low-burden adjunct that blunts postprandial glucose [16,17]. Because interval work carries the highest acute risk, it is deferred until Section 3 clearance and Phase 1 tolerance are both satisfied.</w:t>
      </w:r>
    </w:p>
    <w:p>
      <w:pPr>
        <w:spacing w:after="140" w:before="320"/>
      </w:pPr>
      <w:r>
        <w:rPr>
          <w:rFonts w:ascii="Cambria" w:cs="Cambria" w:eastAsia="Cambria" w:hAnsi="Cambria"/>
          <w:b/>
          <w:bCs/>
          <w:color w:val="0B2027"/>
          <w:sz w:val="30"/>
          <w:szCs w:val="30"/>
        </w:rPr>
        <w:t xml:space="preserve">6.  Integrated confounder management</w:t>
      </w:r>
    </w:p>
    <w:p>
      <w:pPr>
        <w:spacing w:after="140" w:line="276"/>
        <w:jc w:val="both"/>
      </w:pPr>
      <w:r>
        <w:rPr>
          <w:rFonts w:ascii="Calibri" w:cs="Calibri" w:eastAsia="Calibri" w:hAnsi="Calibri"/>
          <w:color w:val="1A2E33"/>
          <w:sz w:val="21"/>
          <w:szCs w:val="21"/>
        </w:rPr>
        <w:t xml:space="preserve">The four exposures are treated inside the program. Each is framed to the patient as a lever that will visibly move their own fitness curve, which is a more effective motivator than abstract risk.</w:t>
      </w:r>
    </w:p>
    <w:p>
      <w:pPr>
        <w:spacing w:after="140" w:line="276"/>
        <w:jc w:val="both"/>
      </w:pPr>
      <w:r>
        <w:rPr>
          <w:rFonts w:ascii="Calibri" w:cs="Calibri" w:eastAsia="Calibri" w:hAnsi="Calibri"/>
          <w:b/>
          <w:bCs/>
          <w:color w:val="026773"/>
          <w:sz w:val="21"/>
          <w:szCs w:val="21"/>
        </w:rPr>
        <w:t xml:space="preserve">Smoking cessation.  </w:t>
      </w:r>
      <w:r>
        <w:rPr>
          <w:rFonts w:ascii="Calibri" w:cs="Calibri" w:eastAsia="Calibri" w:hAnsi="Calibri"/>
          <w:color w:val="1A2E33"/>
          <w:sz w:val="21"/>
          <w:szCs w:val="21"/>
        </w:rPr>
        <w:t xml:space="preserve">This is itself a VO₂ intervention: clearing carboxyhemoglobin raises measured aerobic capacity within weeks, independent of any training [9]. Cessation is supported with evidence-based pharmacotherapy and counseling, not a wearable nudge alone.</w:t>
      </w:r>
    </w:p>
    <w:p>
      <w:pPr>
        <w:spacing w:after="140" w:line="276"/>
        <w:jc w:val="both"/>
      </w:pPr>
      <w:r>
        <w:rPr>
          <w:rFonts w:ascii="Calibri" w:cs="Calibri" w:eastAsia="Calibri" w:hAnsi="Calibri"/>
          <w:b/>
          <w:bCs/>
          <w:color w:val="026773"/>
          <w:sz w:val="21"/>
          <w:szCs w:val="21"/>
        </w:rPr>
        <w:t xml:space="preserve">Alcohol reduction.  </w:t>
      </w:r>
      <w:r>
        <w:rPr>
          <w:rFonts w:ascii="Calibri" w:cs="Calibri" w:eastAsia="Calibri" w:hAnsi="Calibri"/>
          <w:color w:val="1A2E33"/>
          <w:sz w:val="21"/>
          <w:szCs w:val="21"/>
        </w:rPr>
        <w:t xml:space="preserve">Reducing intake improves training adaptation and recovery, including post-exercise muscle protein synthesis [18], and lowers the arrhythmia and cardiomyopathy risk that otherwise caps output and threatens safety [8]. This requires an appropriate alcohol-use-disorder treatment or referral pathway. The program does not moralize; a shaming adherence engine loses the patient.</w:t>
      </w:r>
    </w:p>
    <w:p>
      <w:pPr>
        <w:spacing w:after="140" w:line="276"/>
        <w:jc w:val="both"/>
      </w:pPr>
      <w:r>
        <w:rPr>
          <w:rFonts w:ascii="Calibri" w:cs="Calibri" w:eastAsia="Calibri" w:hAnsi="Calibri"/>
          <w:b/>
          <w:bCs/>
          <w:color w:val="026773"/>
          <w:sz w:val="21"/>
          <w:szCs w:val="21"/>
        </w:rPr>
        <w:t xml:space="preserve">Weight and glucose.  </w:t>
      </w:r>
      <w:r>
        <w:rPr>
          <w:rFonts w:ascii="Calibri" w:cs="Calibri" w:eastAsia="Calibri" w:hAnsi="Calibri"/>
          <w:color w:val="1A2E33"/>
          <w:sz w:val="21"/>
          <w:szCs w:val="21"/>
        </w:rPr>
        <w:t xml:space="preserve">Weight loss raises VO₂ per kilogram directly, and the whole bundle doubles as diabetes prevention. In the Diabetes Prevention Program an intensive lifestyle intervention reduced incident type 2 diabetes by 58 percent over placebo [14].</w:t>
      </w:r>
    </w:p>
    <w:p>
      <w:pPr>
        <w:spacing w:after="140" w:line="276"/>
        <w:jc w:val="both"/>
      </w:pPr>
      <w:r>
        <w:rPr>
          <w:rFonts w:ascii="Calibri" w:cs="Calibri" w:eastAsia="Calibri" w:hAnsi="Calibri"/>
          <w:b/>
          <w:bCs/>
          <w:color w:val="026773"/>
          <w:sz w:val="21"/>
          <w:szCs w:val="21"/>
        </w:rPr>
        <w:t xml:space="preserve">Honest limit.  </w:t>
      </w:r>
      <w:r>
        <w:rPr>
          <w:rFonts w:ascii="Calibri" w:cs="Calibri" w:eastAsia="Calibri" w:hAnsi="Calibri"/>
          <w:color w:val="1A2E33"/>
          <w:sz w:val="21"/>
          <w:szCs w:val="21"/>
        </w:rPr>
        <w:t xml:space="preserve">Intensive lifestyle intervention reliably improves fitness, glycemia, and risk factors, but in patients with established diabetes the Look AHEAD trial found that a weight-loss-focused program did not reduce hard cardiovascular events [15]. This protocol is therefore positioned for risk-factor improvement, fitness gain, and diabetes prevention, and it does not claim guaranteed cardiovascular-event reduction.</w:t>
      </w:r>
    </w:p>
    <w:p>
      <w:pPr>
        <w:spacing w:after="140" w:before="320"/>
      </w:pPr>
      <w:r>
        <w:rPr>
          <w:rFonts w:ascii="Cambria" w:cs="Cambria" w:eastAsia="Cambria" w:hAnsi="Cambria"/>
          <w:b/>
          <w:bCs/>
          <w:color w:val="0B2027"/>
          <w:sz w:val="30"/>
          <w:szCs w:val="30"/>
        </w:rPr>
        <w:t xml:space="preserve">7.  Behavioral architecture and adherence</w:t>
      </w:r>
    </w:p>
    <w:p>
      <w:pPr>
        <w:spacing w:after="140" w:line="276"/>
        <w:jc w:val="both"/>
      </w:pPr>
      <w:r>
        <w:rPr>
          <w:rFonts w:ascii="Calibri" w:cs="Calibri" w:eastAsia="Calibri" w:hAnsi="Calibri"/>
          <w:color w:val="1A2E33"/>
          <w:sz w:val="21"/>
          <w:szCs w:val="21"/>
        </w:rPr>
        <w:t xml:space="preserve">Adherence, not physiology, is the binding constraint for a sedentary population with active addictions. The program is built for it: very small starting doses, frequent early wins, autonomy rather than prescription, and just-in-time adaptive nudges timed to the individual’s context, an approach validated for physical-activity support in micro-randomized trials [20]. Milestones are set off the patient’s own floor rather than a population norm. The realistic target is to move a patient out of the lowest fitness stratum and keep them there, not to reach elite values.</w:t>
      </w:r>
    </w:p>
    <w:p>
      <w:pPr>
        <w:spacing w:after="140" w:before="320"/>
      </w:pPr>
      <w:r>
        <w:rPr>
          <w:rFonts w:ascii="Cambria" w:cs="Cambria" w:eastAsia="Cambria" w:hAnsi="Cambria"/>
          <w:b/>
          <w:bCs/>
          <w:color w:val="0B2027"/>
          <w:sz w:val="30"/>
          <w:szCs w:val="30"/>
        </w:rPr>
        <w:t xml:space="preserve">8.  Monitoring, escalation, and remote patient monitoring</w:t>
      </w:r>
    </w:p>
    <w:p>
      <w:pPr>
        <w:spacing w:after="140" w:line="276"/>
        <w:jc w:val="both"/>
      </w:pPr>
      <w:r>
        <w:rPr>
          <w:rFonts w:ascii="Calibri" w:cs="Calibri" w:eastAsia="Calibri" w:hAnsi="Calibri"/>
          <w:color w:val="1A2E33"/>
          <w:sz w:val="21"/>
          <w:szCs w:val="21"/>
        </w:rPr>
        <w:t xml:space="preserve">The estimated fitness trajectory is the primary signal, monitored continuously and reviewed against the supporting markers below. Device-based physiologic monitoring of this kind is reimbursable under Medicare remote-patient-monitoring workflows, which gives the program a clinical rather than consumer framing.</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900"/>
        <w:gridCol w:w="1700"/>
        <w:gridCol w:w="4760"/>
      </w:tblGrid>
      <w:tr>
        <w:trPr>
          <w:tblHeader/>
        </w:trPr>
        <w:tc>
          <w:tcPr>
            <w:tcW w:type="dxa" w:w="2900"/>
            <w:tcBorders>
              <w:top w:val="single" w:color="9FB6BA" w:sz="4"/>
              <w:left w:val="none" w:color="FFFFFF" w:sz="0"/>
              <w:bottom w:val="single" w:color="9FB6BA" w:sz="4"/>
              <w:right w:val="none" w:color="FFFFFF" w:sz="0"/>
            </w:tcBorders>
            <w:shd w:fill="EAF2F3" w:color="auto" w:val="clear"/>
            <w:tcMar>
              <w:top w:type="dxa" w:w="60"/>
              <w:left w:type="dxa" w:w="110"/>
              <w:bottom w:type="dxa" w:w="60"/>
              <w:right w:type="dxa" w:w="110"/>
            </w:tcMar>
          </w:tcPr>
          <w:p>
            <w:pPr>
              <w:spacing w:after="0" w:line="252"/>
            </w:pPr>
            <w:r>
              <w:rPr>
                <w:rFonts w:ascii="Calibri" w:cs="Calibri" w:eastAsia="Calibri" w:hAnsi="Calibri"/>
                <w:b/>
                <w:bCs/>
                <w:color w:val="0B2027"/>
                <w:sz w:val="18"/>
                <w:szCs w:val="18"/>
              </w:rPr>
              <w:t xml:space="preserve">Signal</w:t>
            </w:r>
          </w:p>
        </w:tc>
        <w:tc>
          <w:tcPr>
            <w:tcW w:type="dxa" w:w="1700"/>
            <w:tcBorders>
              <w:top w:val="single" w:color="9FB6BA" w:sz="4"/>
              <w:left w:val="none" w:color="FFFFFF" w:sz="0"/>
              <w:bottom w:val="single" w:color="9FB6BA" w:sz="4"/>
              <w:right w:val="none" w:color="FFFFFF" w:sz="0"/>
            </w:tcBorders>
            <w:shd w:fill="EAF2F3" w:color="auto" w:val="clear"/>
            <w:tcMar>
              <w:top w:type="dxa" w:w="60"/>
              <w:left w:type="dxa" w:w="110"/>
              <w:bottom w:type="dxa" w:w="60"/>
              <w:right w:type="dxa" w:w="110"/>
            </w:tcMar>
          </w:tcPr>
          <w:p>
            <w:pPr>
              <w:spacing w:after="0" w:line="252"/>
            </w:pPr>
            <w:r>
              <w:rPr>
                <w:rFonts w:ascii="Calibri" w:cs="Calibri" w:eastAsia="Calibri" w:hAnsi="Calibri"/>
                <w:b/>
                <w:bCs/>
                <w:color w:val="0B2027"/>
                <w:sz w:val="18"/>
                <w:szCs w:val="18"/>
              </w:rPr>
              <w:t xml:space="preserve">Cadence</w:t>
            </w:r>
          </w:p>
        </w:tc>
        <w:tc>
          <w:tcPr>
            <w:tcW w:type="dxa" w:w="4760"/>
            <w:tcBorders>
              <w:top w:val="single" w:color="9FB6BA" w:sz="4"/>
              <w:left w:val="none" w:color="FFFFFF" w:sz="0"/>
              <w:bottom w:val="single" w:color="9FB6BA" w:sz="4"/>
              <w:right w:val="none" w:color="FFFFFF" w:sz="0"/>
            </w:tcBorders>
            <w:shd w:fill="EAF2F3" w:color="auto" w:val="clear"/>
            <w:tcMar>
              <w:top w:type="dxa" w:w="60"/>
              <w:left w:type="dxa" w:w="110"/>
              <w:bottom w:type="dxa" w:w="60"/>
              <w:right w:type="dxa" w:w="110"/>
            </w:tcMar>
          </w:tcPr>
          <w:p>
            <w:pPr>
              <w:spacing w:after="0" w:line="252"/>
            </w:pPr>
            <w:r>
              <w:rPr>
                <w:rFonts w:ascii="Calibri" w:cs="Calibri" w:eastAsia="Calibri" w:hAnsi="Calibri"/>
                <w:b/>
                <w:bCs/>
                <w:color w:val="0B2027"/>
                <w:sz w:val="18"/>
                <w:szCs w:val="18"/>
              </w:rPr>
              <w:t xml:space="preserve">Action / escalation</w:t>
            </w:r>
          </w:p>
        </w:tc>
      </w:tr>
      <w:tr>
        <w:tc>
          <w:tcPr>
            <w:tcW w:type="dxa" w:w="2900"/>
            <w:tcBorders>
              <w:top w:val="single" w:color="9FB6BA" w:sz="4"/>
              <w:left w:val="none" w:color="FFFFFF" w:sz="0"/>
              <w:bottom w:val="single" w:color="9FB6BA" w:sz="4"/>
              <w:right w:val="none" w:color="FFFFFF" w:sz="0"/>
            </w:tcBorders>
            <w:tcMar>
              <w:top w:type="dxa" w:w="60"/>
              <w:left w:type="dxa" w:w="110"/>
              <w:bottom w:type="dxa" w:w="60"/>
              <w:right w:type="dxa" w:w="110"/>
            </w:tcMar>
          </w:tcPr>
          <w:p>
            <w:pPr>
              <w:spacing w:after="0" w:line="252"/>
            </w:pPr>
            <w:r>
              <w:rPr>
                <w:rFonts w:ascii="Calibri" w:cs="Calibri" w:eastAsia="Calibri" w:hAnsi="Calibri"/>
                <w:b/>
                <w:bCs/>
                <w:color w:val="1A2E33"/>
                <w:sz w:val="18"/>
                <w:szCs w:val="18"/>
              </w:rPr>
              <w:t xml:space="preserve">Estimated VO₂ (absolute + weight-indexed)</w:t>
            </w:r>
          </w:p>
        </w:tc>
        <w:tc>
          <w:tcPr>
            <w:tcW w:type="dxa" w:w="1700"/>
            <w:tcBorders>
              <w:top w:val="single" w:color="9FB6BA" w:sz="4"/>
              <w:left w:val="none" w:color="FFFFFF" w:sz="0"/>
              <w:bottom w:val="single" w:color="9FB6BA" w:sz="4"/>
              <w:right w:val="none" w:color="FFFFFF" w:sz="0"/>
            </w:tcBorders>
            <w:tcMar>
              <w:top w:type="dxa" w:w="60"/>
              <w:left w:type="dxa" w:w="110"/>
              <w:bottom w:type="dxa" w:w="60"/>
              <w:right w:type="dxa" w:w="110"/>
            </w:tcMar>
          </w:tcPr>
          <w:p>
            <w:pPr>
              <w:spacing w:after="0" w:line="252"/>
            </w:pPr>
            <w:r>
              <w:rPr>
                <w:rFonts w:ascii="Calibri" w:cs="Calibri" w:eastAsia="Calibri" w:hAnsi="Calibri"/>
                <w:b w:val="false"/>
                <w:bCs w:val="false"/>
                <w:color w:val="1A2E33"/>
                <w:sz w:val="18"/>
                <w:szCs w:val="18"/>
              </w:rPr>
              <w:t xml:space="preserve">Continuous; reviewed monthly</w:t>
            </w:r>
          </w:p>
        </w:tc>
        <w:tc>
          <w:tcPr>
            <w:tcW w:type="dxa" w:w="4760"/>
            <w:tcBorders>
              <w:top w:val="single" w:color="9FB6BA" w:sz="4"/>
              <w:left w:val="none" w:color="FFFFFF" w:sz="0"/>
              <w:bottom w:val="single" w:color="9FB6BA" w:sz="4"/>
              <w:right w:val="none" w:color="FFFFFF" w:sz="0"/>
            </w:tcBorders>
            <w:tcMar>
              <w:top w:type="dxa" w:w="60"/>
              <w:left w:type="dxa" w:w="110"/>
              <w:bottom w:type="dxa" w:w="60"/>
              <w:right w:type="dxa" w:w="110"/>
            </w:tcMar>
          </w:tcPr>
          <w:p>
            <w:pPr>
              <w:spacing w:after="0" w:line="252"/>
            </w:pPr>
            <w:r>
              <w:rPr>
                <w:rFonts w:ascii="Calibri" w:cs="Calibri" w:eastAsia="Calibri" w:hAnsi="Calibri"/>
                <w:b w:val="false"/>
                <w:bCs w:val="false"/>
                <w:color w:val="1A2E33"/>
                <w:sz w:val="18"/>
                <w:szCs w:val="18"/>
              </w:rPr>
              <w:t xml:space="preserve">Rising trend confirms plan is working; flat or falling trend triggers review of adherence and confounders</w:t>
            </w:r>
          </w:p>
        </w:tc>
      </w:tr>
      <w:tr>
        <w:tc>
          <w:tcPr>
            <w:tcW w:type="dxa" w:w="2900"/>
            <w:tcBorders>
              <w:top w:val="single" w:color="9FB6BA" w:sz="4"/>
              <w:left w:val="none" w:color="FFFFFF" w:sz="0"/>
              <w:bottom w:val="single" w:color="9FB6BA" w:sz="4"/>
              <w:right w:val="none" w:color="FFFFFF" w:sz="0"/>
            </w:tcBorders>
            <w:tcMar>
              <w:top w:type="dxa" w:w="60"/>
              <w:left w:type="dxa" w:w="110"/>
              <w:bottom w:type="dxa" w:w="60"/>
              <w:right w:type="dxa" w:w="110"/>
            </w:tcMar>
          </w:tcPr>
          <w:p>
            <w:pPr>
              <w:spacing w:after="0" w:line="252"/>
            </w:pPr>
            <w:r>
              <w:rPr>
                <w:rFonts w:ascii="Calibri" w:cs="Calibri" w:eastAsia="Calibri" w:hAnsi="Calibri"/>
                <w:b/>
                <w:bCs/>
                <w:color w:val="1A2E33"/>
                <w:sz w:val="18"/>
                <w:szCs w:val="18"/>
              </w:rPr>
              <w:t xml:space="preserve">Resting heart rate, sleep</w:t>
            </w:r>
          </w:p>
        </w:tc>
        <w:tc>
          <w:tcPr>
            <w:tcW w:type="dxa" w:w="1700"/>
            <w:tcBorders>
              <w:top w:val="single" w:color="9FB6BA" w:sz="4"/>
              <w:left w:val="none" w:color="FFFFFF" w:sz="0"/>
              <w:bottom w:val="single" w:color="9FB6BA" w:sz="4"/>
              <w:right w:val="none" w:color="FFFFFF" w:sz="0"/>
            </w:tcBorders>
            <w:tcMar>
              <w:top w:type="dxa" w:w="60"/>
              <w:left w:type="dxa" w:w="110"/>
              <w:bottom w:type="dxa" w:w="60"/>
              <w:right w:type="dxa" w:w="110"/>
            </w:tcMar>
          </w:tcPr>
          <w:p>
            <w:pPr>
              <w:spacing w:after="0" w:line="252"/>
            </w:pPr>
            <w:r>
              <w:rPr>
                <w:rFonts w:ascii="Calibri" w:cs="Calibri" w:eastAsia="Calibri" w:hAnsi="Calibri"/>
                <w:b w:val="false"/>
                <w:bCs w:val="false"/>
                <w:color w:val="1A2E33"/>
                <w:sz w:val="18"/>
                <w:szCs w:val="18"/>
              </w:rPr>
              <w:t xml:space="preserve">Continuous</w:t>
            </w:r>
          </w:p>
        </w:tc>
        <w:tc>
          <w:tcPr>
            <w:tcW w:type="dxa" w:w="4760"/>
            <w:tcBorders>
              <w:top w:val="single" w:color="9FB6BA" w:sz="4"/>
              <w:left w:val="none" w:color="FFFFFF" w:sz="0"/>
              <w:bottom w:val="single" w:color="9FB6BA" w:sz="4"/>
              <w:right w:val="none" w:color="FFFFFF" w:sz="0"/>
            </w:tcBorders>
            <w:tcMar>
              <w:top w:type="dxa" w:w="60"/>
              <w:left w:type="dxa" w:w="110"/>
              <w:bottom w:type="dxa" w:w="60"/>
              <w:right w:type="dxa" w:w="110"/>
            </w:tcMar>
          </w:tcPr>
          <w:p>
            <w:pPr>
              <w:spacing w:after="0" w:line="252"/>
            </w:pPr>
            <w:r>
              <w:rPr>
                <w:rFonts w:ascii="Calibri" w:cs="Calibri" w:eastAsia="Calibri" w:hAnsi="Calibri"/>
                <w:b w:val="false"/>
                <w:bCs w:val="false"/>
                <w:color w:val="1A2E33"/>
                <w:sz w:val="18"/>
                <w:szCs w:val="18"/>
              </w:rPr>
              <w:t xml:space="preserve">Supporting adaptation markers; abrupt changes prompt review</w:t>
            </w:r>
          </w:p>
        </w:tc>
      </w:tr>
      <w:tr>
        <w:tc>
          <w:tcPr>
            <w:tcW w:type="dxa" w:w="2900"/>
            <w:tcBorders>
              <w:top w:val="single" w:color="9FB6BA" w:sz="4"/>
              <w:left w:val="none" w:color="FFFFFF" w:sz="0"/>
              <w:bottom w:val="single" w:color="9FB6BA" w:sz="4"/>
              <w:right w:val="none" w:color="FFFFFF" w:sz="0"/>
            </w:tcBorders>
            <w:tcMar>
              <w:top w:type="dxa" w:w="60"/>
              <w:left w:type="dxa" w:w="110"/>
              <w:bottom w:type="dxa" w:w="60"/>
              <w:right w:type="dxa" w:w="110"/>
            </w:tcMar>
          </w:tcPr>
          <w:p>
            <w:pPr>
              <w:spacing w:after="0" w:line="252"/>
            </w:pPr>
            <w:r>
              <w:rPr>
                <w:rFonts w:ascii="Calibri" w:cs="Calibri" w:eastAsia="Calibri" w:hAnsi="Calibri"/>
                <w:b/>
                <w:bCs/>
                <w:color w:val="1A2E33"/>
                <w:sz w:val="18"/>
                <w:szCs w:val="18"/>
              </w:rPr>
              <w:t xml:space="preserve">HbA1c / fasting glucose, blood pressure, weight</w:t>
            </w:r>
          </w:p>
        </w:tc>
        <w:tc>
          <w:tcPr>
            <w:tcW w:type="dxa" w:w="1700"/>
            <w:tcBorders>
              <w:top w:val="single" w:color="9FB6BA" w:sz="4"/>
              <w:left w:val="none" w:color="FFFFFF" w:sz="0"/>
              <w:bottom w:val="single" w:color="9FB6BA" w:sz="4"/>
              <w:right w:val="none" w:color="FFFFFF" w:sz="0"/>
            </w:tcBorders>
            <w:tcMar>
              <w:top w:type="dxa" w:w="60"/>
              <w:left w:type="dxa" w:w="110"/>
              <w:bottom w:type="dxa" w:w="60"/>
              <w:right w:type="dxa" w:w="110"/>
            </w:tcMar>
          </w:tcPr>
          <w:p>
            <w:pPr>
              <w:spacing w:after="0" w:line="252"/>
            </w:pPr>
            <w:r>
              <w:rPr>
                <w:rFonts w:ascii="Calibri" w:cs="Calibri" w:eastAsia="Calibri" w:hAnsi="Calibri"/>
                <w:b w:val="false"/>
                <w:bCs w:val="false"/>
                <w:color w:val="1A2E33"/>
                <w:sz w:val="18"/>
                <w:szCs w:val="18"/>
              </w:rPr>
              <w:t xml:space="preserve">Per clinical schedule</w:t>
            </w:r>
          </w:p>
        </w:tc>
        <w:tc>
          <w:tcPr>
            <w:tcW w:type="dxa" w:w="4760"/>
            <w:tcBorders>
              <w:top w:val="single" w:color="9FB6BA" w:sz="4"/>
              <w:left w:val="none" w:color="FFFFFF" w:sz="0"/>
              <w:bottom w:val="single" w:color="9FB6BA" w:sz="4"/>
              <w:right w:val="none" w:color="FFFFFF" w:sz="0"/>
            </w:tcBorders>
            <w:tcMar>
              <w:top w:type="dxa" w:w="60"/>
              <w:left w:type="dxa" w:w="110"/>
              <w:bottom w:type="dxa" w:w="60"/>
              <w:right w:type="dxa" w:w="110"/>
            </w:tcMar>
          </w:tcPr>
          <w:p>
            <w:pPr>
              <w:spacing w:after="0" w:line="252"/>
            </w:pPr>
            <w:r>
              <w:rPr>
                <w:rFonts w:ascii="Calibri" w:cs="Calibri" w:eastAsia="Calibri" w:hAnsi="Calibri"/>
                <w:b w:val="false"/>
                <w:bCs w:val="false"/>
                <w:color w:val="1A2E33"/>
                <w:sz w:val="18"/>
                <w:szCs w:val="18"/>
              </w:rPr>
              <w:t xml:space="preserve">Confirm metabolic response; guide medication de-escalation where appropriate</w:t>
            </w:r>
          </w:p>
        </w:tc>
      </w:tr>
      <w:tr>
        <w:tc>
          <w:tcPr>
            <w:tcW w:type="dxa" w:w="2900"/>
            <w:tcBorders>
              <w:top w:val="single" w:color="9FB6BA" w:sz="4"/>
              <w:left w:val="none" w:color="FFFFFF" w:sz="0"/>
              <w:bottom w:val="single" w:color="9FB6BA" w:sz="4"/>
              <w:right w:val="none" w:color="FFFFFF" w:sz="0"/>
            </w:tcBorders>
            <w:tcMar>
              <w:top w:type="dxa" w:w="60"/>
              <w:left w:type="dxa" w:w="110"/>
              <w:bottom w:type="dxa" w:w="60"/>
              <w:right w:type="dxa" w:w="110"/>
            </w:tcMar>
          </w:tcPr>
          <w:p>
            <w:pPr>
              <w:spacing w:after="0" w:line="252"/>
            </w:pPr>
            <w:r>
              <w:rPr>
                <w:rFonts w:ascii="Calibri" w:cs="Calibri" w:eastAsia="Calibri" w:hAnsi="Calibri"/>
                <w:b/>
                <w:bCs/>
                <w:color w:val="1A2E33"/>
                <w:sz w:val="18"/>
                <w:szCs w:val="18"/>
              </w:rPr>
              <w:t xml:space="preserve">Smoke-free days, alcohol reduction</w:t>
            </w:r>
          </w:p>
        </w:tc>
        <w:tc>
          <w:tcPr>
            <w:tcW w:type="dxa" w:w="1700"/>
            <w:tcBorders>
              <w:top w:val="single" w:color="9FB6BA" w:sz="4"/>
              <w:left w:val="none" w:color="FFFFFF" w:sz="0"/>
              <w:bottom w:val="single" w:color="9FB6BA" w:sz="4"/>
              <w:right w:val="none" w:color="FFFFFF" w:sz="0"/>
            </w:tcBorders>
            <w:tcMar>
              <w:top w:type="dxa" w:w="60"/>
              <w:left w:type="dxa" w:w="110"/>
              <w:bottom w:type="dxa" w:w="60"/>
              <w:right w:type="dxa" w:w="110"/>
            </w:tcMar>
          </w:tcPr>
          <w:p>
            <w:pPr>
              <w:spacing w:after="0" w:line="252"/>
            </w:pPr>
            <w:r>
              <w:rPr>
                <w:rFonts w:ascii="Calibri" w:cs="Calibri" w:eastAsia="Calibri" w:hAnsi="Calibri"/>
                <w:b w:val="false"/>
                <w:bCs w:val="false"/>
                <w:color w:val="1A2E33"/>
                <w:sz w:val="18"/>
                <w:szCs w:val="18"/>
              </w:rPr>
              <w:t xml:space="preserve">Ongoing</w:t>
            </w:r>
          </w:p>
        </w:tc>
        <w:tc>
          <w:tcPr>
            <w:tcW w:type="dxa" w:w="4760"/>
            <w:tcBorders>
              <w:top w:val="single" w:color="9FB6BA" w:sz="4"/>
              <w:left w:val="none" w:color="FFFFFF" w:sz="0"/>
              <w:bottom w:val="single" w:color="9FB6BA" w:sz="4"/>
              <w:right w:val="none" w:color="FFFFFF" w:sz="0"/>
            </w:tcBorders>
            <w:tcMar>
              <w:top w:type="dxa" w:w="60"/>
              <w:left w:type="dxa" w:w="110"/>
              <w:bottom w:type="dxa" w:w="60"/>
              <w:right w:type="dxa" w:w="110"/>
            </w:tcMar>
          </w:tcPr>
          <w:p>
            <w:pPr>
              <w:spacing w:after="0" w:line="252"/>
            </w:pPr>
            <w:r>
              <w:rPr>
                <w:rFonts w:ascii="Calibri" w:cs="Calibri" w:eastAsia="Calibri" w:hAnsi="Calibri"/>
                <w:b w:val="false"/>
                <w:bCs w:val="false"/>
                <w:color w:val="1A2E33"/>
                <w:sz w:val="18"/>
                <w:szCs w:val="18"/>
              </w:rPr>
              <w:t xml:space="preserve">Tie directly to expected fitness gains as motivation</w:t>
            </w:r>
          </w:p>
        </w:tc>
      </w:tr>
      <w:tr>
        <w:tc>
          <w:tcPr>
            <w:tcW w:type="dxa" w:w="2900"/>
            <w:tcBorders>
              <w:top w:val="single" w:color="9FB6BA" w:sz="4"/>
              <w:left w:val="none" w:color="FFFFFF" w:sz="0"/>
              <w:bottom w:val="single" w:color="9FB6BA" w:sz="4"/>
              <w:right w:val="none" w:color="FFFFFF" w:sz="0"/>
            </w:tcBorders>
            <w:tcMar>
              <w:top w:type="dxa" w:w="60"/>
              <w:left w:type="dxa" w:w="110"/>
              <w:bottom w:type="dxa" w:w="60"/>
              <w:right w:type="dxa" w:w="110"/>
            </w:tcMar>
          </w:tcPr>
          <w:p>
            <w:pPr>
              <w:spacing w:after="0" w:line="252"/>
            </w:pPr>
            <w:r>
              <w:rPr>
                <w:rFonts w:ascii="Calibri" w:cs="Calibri" w:eastAsia="Calibri" w:hAnsi="Calibri"/>
                <w:b/>
                <w:bCs/>
                <w:color w:val="1A2E33"/>
                <w:sz w:val="18"/>
                <w:szCs w:val="18"/>
              </w:rPr>
              <w:t xml:space="preserve">Exertional chest pain, syncope, new palpitations</w:t>
            </w:r>
          </w:p>
        </w:tc>
        <w:tc>
          <w:tcPr>
            <w:tcW w:type="dxa" w:w="1700"/>
            <w:tcBorders>
              <w:top w:val="single" w:color="9FB6BA" w:sz="4"/>
              <w:left w:val="none" w:color="FFFFFF" w:sz="0"/>
              <w:bottom w:val="single" w:color="9FB6BA" w:sz="4"/>
              <w:right w:val="none" w:color="FFFFFF" w:sz="0"/>
            </w:tcBorders>
            <w:tcMar>
              <w:top w:type="dxa" w:w="60"/>
              <w:left w:type="dxa" w:w="110"/>
              <w:bottom w:type="dxa" w:w="60"/>
              <w:right w:type="dxa" w:w="110"/>
            </w:tcMar>
          </w:tcPr>
          <w:p>
            <w:pPr>
              <w:spacing w:after="0" w:line="252"/>
            </w:pPr>
            <w:r>
              <w:rPr>
                <w:rFonts w:ascii="Calibri" w:cs="Calibri" w:eastAsia="Calibri" w:hAnsi="Calibri"/>
                <w:b w:val="false"/>
                <w:bCs w:val="false"/>
                <w:color w:val="1A2E33"/>
                <w:sz w:val="18"/>
                <w:szCs w:val="18"/>
              </w:rPr>
              <w:t xml:space="preserve">Real-time</w:t>
            </w:r>
          </w:p>
        </w:tc>
        <w:tc>
          <w:tcPr>
            <w:tcW w:type="dxa" w:w="4760"/>
            <w:tcBorders>
              <w:top w:val="single" w:color="9FB6BA" w:sz="4"/>
              <w:left w:val="none" w:color="FFFFFF" w:sz="0"/>
              <w:bottom w:val="single" w:color="9FB6BA" w:sz="4"/>
              <w:right w:val="none" w:color="FFFFFF" w:sz="0"/>
            </w:tcBorders>
            <w:tcMar>
              <w:top w:type="dxa" w:w="60"/>
              <w:left w:type="dxa" w:w="110"/>
              <w:bottom w:type="dxa" w:w="60"/>
              <w:right w:type="dxa" w:w="110"/>
            </w:tcMar>
          </w:tcPr>
          <w:p>
            <w:pPr>
              <w:spacing w:after="0" w:line="252"/>
            </w:pPr>
            <w:r>
              <w:rPr>
                <w:rFonts w:ascii="Calibri" w:cs="Calibri" w:eastAsia="Calibri" w:hAnsi="Calibri"/>
                <w:b w:val="false"/>
                <w:bCs w:val="false"/>
                <w:color w:val="1A2E33"/>
                <w:sz w:val="18"/>
                <w:szCs w:val="18"/>
              </w:rPr>
              <w:t xml:space="preserve">Immediate red-flag escalation to a clinician; pause prescribed intensity</w:t>
            </w:r>
          </w:p>
        </w:tc>
      </w:tr>
    </w:tbl>
    <w:p>
      <w:pPr>
        <w:spacing w:after="80"/>
      </w:pPr>
    </w:p>
    <w:p>
      <w:pPr>
        <w:spacing w:after="140" w:line="276"/>
        <w:jc w:val="both"/>
      </w:pPr>
      <w:r>
        <w:rPr>
          <w:rFonts w:ascii="Calibri" w:cs="Calibri" w:eastAsia="Calibri" w:hAnsi="Calibri"/>
          <w:color w:val="1A2E33"/>
          <w:sz w:val="21"/>
          <w:szCs w:val="21"/>
        </w:rPr>
        <w:t xml:space="preserve">The caveat from Section 4 remains central throughout monitoring: in this population the estimate is noisiest, so decisions lean on the supervised anchor and on paired absolute and weight-indexed VO₂ until the confounders clear and the free-living signal becomes trustworthy.</w:t>
      </w:r>
    </w:p>
    <w:p>
      <w:pPr>
        <w:spacing w:after="140" w:before="320"/>
      </w:pPr>
      <w:r>
        <w:rPr>
          <w:rFonts w:ascii="Cambria" w:cs="Cambria" w:eastAsia="Cambria" w:hAnsi="Cambria"/>
          <w:b/>
          <w:bCs/>
          <w:color w:val="0B2027"/>
          <w:sz w:val="30"/>
          <w:szCs w:val="30"/>
        </w:rPr>
        <w:t xml:space="preserve">9.  Outcomes and milestones</w:t>
      </w:r>
    </w:p>
    <w:p>
      <w:pPr>
        <w:spacing w:after="140" w:line="276"/>
        <w:jc w:val="both"/>
      </w:pPr>
      <w:r>
        <w:rPr>
          <w:rFonts w:ascii="Calibri" w:cs="Calibri" w:eastAsia="Calibri" w:hAnsi="Calibri"/>
          <w:color w:val="1A2E33"/>
          <w:sz w:val="21"/>
          <w:szCs w:val="21"/>
        </w:rPr>
        <w:t xml:space="preserve">Success is defined as an upward bend in the individual’s fitness trajectory accompanied by movement in the coupled metabolic markers, rather than attainment of an absolute VO₂ max value. Representative milestones: a measurable MET or VO₂ gain against the supervised baseline; a reduction in resting heart rate; accumulating smoke-free days with the expected carboxyhemoglobin-driven fitness rise; reduced alcohol intake; weight and waist-circumference reduction; and improvement in HbA1c or fasting glucose toward the non-pre-diabetic range. Because the population sits on the steep part of the fitness–mortality curve [3,4], even modest sustained gains carry meaningful absolute risk reduction.</w:t>
      </w:r>
    </w:p>
    <w:p>
      <w:pPr>
        <w:spacing w:after="140" w:before="320"/>
      </w:pPr>
      <w:r>
        <w:rPr>
          <w:rFonts w:ascii="Cambria" w:cs="Cambria" w:eastAsia="Cambria" w:hAnsi="Cambria"/>
          <w:b/>
          <w:bCs/>
          <w:color w:val="0B2027"/>
          <w:sz w:val="30"/>
          <w:szCs w:val="30"/>
        </w:rPr>
        <w:t xml:space="preserve">10.  Limitations and honest caveats</w:t>
      </w:r>
    </w:p>
    <w:p>
      <w:pPr>
        <w:spacing w:after="140" w:line="276"/>
        <w:jc w:val="both"/>
      </w:pPr>
      <w:r>
        <w:rPr>
          <w:rFonts w:ascii="Calibri" w:cs="Calibri" w:eastAsia="Calibri" w:hAnsi="Calibri"/>
          <w:color w:val="1A2E33"/>
          <w:sz w:val="21"/>
          <w:szCs w:val="21"/>
        </w:rPr>
        <w:t xml:space="preserve">Four points are stated plainly. First, no consumer wearable measures VO₂ max; all free-living values are model estimates, and in this phenotype they are the most confounded, which is why the supervised anchor and dual VO₂ metrics are mandatory. Second, exertion carries a real, if small and transient, acute cardiac risk that is highest in the least active, so the screening and staged-intensity gates in Sections 3 and 5 are not optional. Third, fitness and risk-factor improvement are well supported, but hard cardiovascular-event reduction is not guaranteed in established disease [15]. Fourth, the program’s success depends on genuine treatment of tobacco and alcohol use disorders through appropriate clinical pathways; the fitness signal coordinates the plan but does not substitute for that care.</w:t>
      </w:r>
    </w:p>
    <w:p>
      <w:pPr>
        <w:spacing w:after="140" w:before="320"/>
      </w:pPr>
      <w:r>
        <w:rPr>
          <w:rFonts w:ascii="Cambria" w:cs="Cambria" w:eastAsia="Cambria" w:hAnsi="Cambria"/>
          <w:b/>
          <w:bCs/>
          <w:color w:val="0B2027"/>
          <w:sz w:val="30"/>
          <w:szCs w:val="30"/>
        </w:rPr>
        <w:t xml:space="preserve">11.  References</w:t>
      </w:r>
    </w:p>
    <w:p>
      <w:pPr>
        <w:spacing w:after="100" w:line="264"/>
        <w:ind w:left="360" w:hanging="360"/>
      </w:pPr>
      <w:r>
        <w:rPr>
          <w:rFonts w:ascii="Calibri" w:cs="Calibri" w:eastAsia="Calibri" w:hAnsi="Calibri"/>
          <w:color w:val="1A2E33"/>
          <w:sz w:val="20"/>
          <w:szCs w:val="20"/>
        </w:rPr>
        <w:t xml:space="preserve">1.	</w:t>
      </w:r>
      <w:r>
        <w:rPr>
          <w:rFonts w:ascii="Calibri" w:cs="Calibri" w:eastAsia="Calibri" w:hAnsi="Calibri"/>
          <w:color w:val="1A2E33"/>
          <w:sz w:val="20"/>
          <w:szCs w:val="20"/>
        </w:rPr>
        <w:t xml:space="preserve">Ross R, Blair SN, Arena R, et al. </w:t>
      </w:r>
      <w:r>
        <w:rPr>
          <w:rFonts w:ascii="Calibri" w:cs="Calibri" w:eastAsia="Calibri" w:hAnsi="Calibri"/>
          <w:i/>
          <w:iCs/>
          <w:color w:val="1A2E33"/>
          <w:sz w:val="20"/>
          <w:szCs w:val="20"/>
        </w:rPr>
        <w:t xml:space="preserve">Importance of assessing cardiorespiratory fitness in clinical practice: a case for fitness as a clinical vital sign. A scientific statement from the American Heart Association. </w:t>
      </w:r>
      <w:r>
        <w:rPr>
          <w:rFonts w:ascii="Calibri" w:cs="Calibri" w:eastAsia="Calibri" w:hAnsi="Calibri"/>
          <w:color w:val="1A2E33"/>
          <w:sz w:val="20"/>
          <w:szCs w:val="20"/>
        </w:rPr>
        <w:t xml:space="preserve">Circulation. 2016;134(24):e653–e699.</w:t>
      </w:r>
    </w:p>
    <w:p>
      <w:pPr>
        <w:spacing w:after="100" w:line="264"/>
        <w:ind w:left="360" w:hanging="360"/>
      </w:pPr>
      <w:r>
        <w:rPr>
          <w:rFonts w:ascii="Calibri" w:cs="Calibri" w:eastAsia="Calibri" w:hAnsi="Calibri"/>
          <w:color w:val="1A2E33"/>
          <w:sz w:val="20"/>
          <w:szCs w:val="20"/>
        </w:rPr>
        <w:t xml:space="preserve">2.	</w:t>
      </w:r>
      <w:r>
        <w:rPr>
          <w:rFonts w:ascii="Calibri" w:cs="Calibri" w:eastAsia="Calibri" w:hAnsi="Calibri"/>
          <w:color w:val="1A2E33"/>
          <w:sz w:val="20"/>
          <w:szCs w:val="20"/>
        </w:rPr>
        <w:t xml:space="preserve">Mandsager K, Harb S, Cremer P, Phelan D, Nissen SE, Jaber W. </w:t>
      </w:r>
      <w:r>
        <w:rPr>
          <w:rFonts w:ascii="Calibri" w:cs="Calibri" w:eastAsia="Calibri" w:hAnsi="Calibri"/>
          <w:i/>
          <w:iCs/>
          <w:color w:val="1A2E33"/>
          <w:sz w:val="20"/>
          <w:szCs w:val="20"/>
        </w:rPr>
        <w:t xml:space="preserve">Association of cardiorespiratory fitness with long-term mortality among adults undergoing exercise treadmill testing. </w:t>
      </w:r>
      <w:r>
        <w:rPr>
          <w:rFonts w:ascii="Calibri" w:cs="Calibri" w:eastAsia="Calibri" w:hAnsi="Calibri"/>
          <w:color w:val="1A2E33"/>
          <w:sz w:val="20"/>
          <w:szCs w:val="20"/>
        </w:rPr>
        <w:t xml:space="preserve">JAMA Network Open. 2018;1(6):e183605.</w:t>
      </w:r>
    </w:p>
    <w:p>
      <w:pPr>
        <w:spacing w:after="100" w:line="264"/>
        <w:ind w:left="360" w:hanging="360"/>
      </w:pPr>
      <w:r>
        <w:rPr>
          <w:rFonts w:ascii="Calibri" w:cs="Calibri" w:eastAsia="Calibri" w:hAnsi="Calibri"/>
          <w:color w:val="1A2E33"/>
          <w:sz w:val="20"/>
          <w:szCs w:val="20"/>
        </w:rPr>
        <w:t xml:space="preserve">3.	</w:t>
      </w:r>
      <w:r>
        <w:rPr>
          <w:rFonts w:ascii="Calibri" w:cs="Calibri" w:eastAsia="Calibri" w:hAnsi="Calibri"/>
          <w:color w:val="1A2E33"/>
          <w:sz w:val="20"/>
          <w:szCs w:val="20"/>
        </w:rPr>
        <w:t xml:space="preserve">Kokkinos P, Faselis C, Samuel IBH, et al. </w:t>
      </w:r>
      <w:r>
        <w:rPr>
          <w:rFonts w:ascii="Calibri" w:cs="Calibri" w:eastAsia="Calibri" w:hAnsi="Calibri"/>
          <w:i/>
          <w:iCs/>
          <w:color w:val="1A2E33"/>
          <w:sz w:val="20"/>
          <w:szCs w:val="20"/>
        </w:rPr>
        <w:t xml:space="preserve">Cardiorespiratory fitness and mortality risk across the spectra of age, race, and sex. </w:t>
      </w:r>
      <w:r>
        <w:rPr>
          <w:rFonts w:ascii="Calibri" w:cs="Calibri" w:eastAsia="Calibri" w:hAnsi="Calibri"/>
          <w:color w:val="1A2E33"/>
          <w:sz w:val="20"/>
          <w:szCs w:val="20"/>
        </w:rPr>
        <w:t xml:space="preserve">Journal of the American College of Cardiology. 2022;80(6):598–609.</w:t>
      </w:r>
    </w:p>
    <w:p>
      <w:pPr>
        <w:spacing w:after="100" w:line="264"/>
        <w:ind w:left="360" w:hanging="360"/>
      </w:pPr>
      <w:r>
        <w:rPr>
          <w:rFonts w:ascii="Calibri" w:cs="Calibri" w:eastAsia="Calibri" w:hAnsi="Calibri"/>
          <w:color w:val="1A2E33"/>
          <w:sz w:val="20"/>
          <w:szCs w:val="20"/>
        </w:rPr>
        <w:t xml:space="preserve">4.	</w:t>
      </w:r>
      <w:r>
        <w:rPr>
          <w:rFonts w:ascii="Calibri" w:cs="Calibri" w:eastAsia="Calibri" w:hAnsi="Calibri"/>
          <w:color w:val="1A2E33"/>
          <w:sz w:val="20"/>
          <w:szCs w:val="20"/>
        </w:rPr>
        <w:t xml:space="preserve">Blair SN, Kohl HW III, Barlow CE, Paffenbarger RS Jr, Gibbons LW, Macera CA. </w:t>
      </w:r>
      <w:r>
        <w:rPr>
          <w:rFonts w:ascii="Calibri" w:cs="Calibri" w:eastAsia="Calibri" w:hAnsi="Calibri"/>
          <w:i/>
          <w:iCs/>
          <w:color w:val="1A2E33"/>
          <w:sz w:val="20"/>
          <w:szCs w:val="20"/>
        </w:rPr>
        <w:t xml:space="preserve">Changes in physical fitness and all-cause mortality: a prospective study of healthy and unhealthy men. </w:t>
      </w:r>
      <w:r>
        <w:rPr>
          <w:rFonts w:ascii="Calibri" w:cs="Calibri" w:eastAsia="Calibri" w:hAnsi="Calibri"/>
          <w:color w:val="1A2E33"/>
          <w:sz w:val="20"/>
          <w:szCs w:val="20"/>
        </w:rPr>
        <w:t xml:space="preserve">JAMA. 1995;273(14):1093–1098.</w:t>
      </w:r>
    </w:p>
    <w:p>
      <w:pPr>
        <w:spacing w:after="100" w:line="264"/>
        <w:ind w:left="360" w:hanging="360"/>
      </w:pPr>
      <w:r>
        <w:rPr>
          <w:rFonts w:ascii="Calibri" w:cs="Calibri" w:eastAsia="Calibri" w:hAnsi="Calibri"/>
          <w:color w:val="1A2E33"/>
          <w:sz w:val="20"/>
          <w:szCs w:val="20"/>
        </w:rPr>
        <w:t xml:space="preserve">5.	</w:t>
      </w:r>
      <w:r>
        <w:rPr>
          <w:rFonts w:ascii="Calibri" w:cs="Calibri" w:eastAsia="Calibri" w:hAnsi="Calibri"/>
          <w:color w:val="1A2E33"/>
          <w:sz w:val="20"/>
          <w:szCs w:val="20"/>
        </w:rPr>
        <w:t xml:space="preserve">Riebe D, Franklin BA, Thompson PD, et al. </w:t>
      </w:r>
      <w:r>
        <w:rPr>
          <w:rFonts w:ascii="Calibri" w:cs="Calibri" w:eastAsia="Calibri" w:hAnsi="Calibri"/>
          <w:i/>
          <w:iCs/>
          <w:color w:val="1A2E33"/>
          <w:sz w:val="20"/>
          <w:szCs w:val="20"/>
        </w:rPr>
        <w:t xml:space="preserve">Updating ACSM’s recommendations for exercise preparticipation health screening. </w:t>
      </w:r>
      <w:r>
        <w:rPr>
          <w:rFonts w:ascii="Calibri" w:cs="Calibri" w:eastAsia="Calibri" w:hAnsi="Calibri"/>
          <w:color w:val="1A2E33"/>
          <w:sz w:val="20"/>
          <w:szCs w:val="20"/>
        </w:rPr>
        <w:t xml:space="preserve">Medicine &amp; Science in Sports &amp; Exercise. 2015;47(11):2473–2479.</w:t>
      </w:r>
    </w:p>
    <w:p>
      <w:pPr>
        <w:spacing w:after="100" w:line="264"/>
        <w:ind w:left="360" w:hanging="360"/>
      </w:pPr>
      <w:r>
        <w:rPr>
          <w:rFonts w:ascii="Calibri" w:cs="Calibri" w:eastAsia="Calibri" w:hAnsi="Calibri"/>
          <w:color w:val="1A2E33"/>
          <w:sz w:val="20"/>
          <w:szCs w:val="20"/>
        </w:rPr>
        <w:t xml:space="preserve">6.	</w:t>
      </w:r>
      <w:r>
        <w:rPr>
          <w:rFonts w:ascii="Calibri" w:cs="Calibri" w:eastAsia="Calibri" w:hAnsi="Calibri"/>
          <w:color w:val="1A2E33"/>
          <w:sz w:val="20"/>
          <w:szCs w:val="20"/>
        </w:rPr>
        <w:t xml:space="preserve">Albert CM, Mittleman MA, Chae CU, Lee IM, Hennekens CH, Manson JE. </w:t>
      </w:r>
      <w:r>
        <w:rPr>
          <w:rFonts w:ascii="Calibri" w:cs="Calibri" w:eastAsia="Calibri" w:hAnsi="Calibri"/>
          <w:i/>
          <w:iCs/>
          <w:color w:val="1A2E33"/>
          <w:sz w:val="20"/>
          <w:szCs w:val="20"/>
        </w:rPr>
        <w:t xml:space="preserve">Triggering of sudden death from cardiac causes by vigorous exertion. </w:t>
      </w:r>
      <w:r>
        <w:rPr>
          <w:rFonts w:ascii="Calibri" w:cs="Calibri" w:eastAsia="Calibri" w:hAnsi="Calibri"/>
          <w:color w:val="1A2E33"/>
          <w:sz w:val="20"/>
          <w:szCs w:val="20"/>
        </w:rPr>
        <w:t xml:space="preserve">New England Journal of Medicine. 2000;343(19):1355–1361.</w:t>
      </w:r>
    </w:p>
    <w:p>
      <w:pPr>
        <w:spacing w:after="100" w:line="264"/>
        <w:ind w:left="360" w:hanging="360"/>
      </w:pPr>
      <w:r>
        <w:rPr>
          <w:rFonts w:ascii="Calibri" w:cs="Calibri" w:eastAsia="Calibri" w:hAnsi="Calibri"/>
          <w:color w:val="1A2E33"/>
          <w:sz w:val="20"/>
          <w:szCs w:val="20"/>
        </w:rPr>
        <w:t xml:space="preserve">7.	</w:t>
      </w:r>
      <w:r>
        <w:rPr>
          <w:rFonts w:ascii="Calibri" w:cs="Calibri" w:eastAsia="Calibri" w:hAnsi="Calibri"/>
          <w:color w:val="1A2E33"/>
          <w:sz w:val="20"/>
          <w:szCs w:val="20"/>
        </w:rPr>
        <w:t xml:space="preserve">Thompson PD, Franklin BA, Balady GJ, et al. </w:t>
      </w:r>
      <w:r>
        <w:rPr>
          <w:rFonts w:ascii="Calibri" w:cs="Calibri" w:eastAsia="Calibri" w:hAnsi="Calibri"/>
          <w:i/>
          <w:iCs/>
          <w:color w:val="1A2E33"/>
          <w:sz w:val="20"/>
          <w:szCs w:val="20"/>
        </w:rPr>
        <w:t xml:space="preserve">Exercise and acute cardiovascular events: placing the risks into perspective. A scientific statement from the American Heart Association. </w:t>
      </w:r>
      <w:r>
        <w:rPr>
          <w:rFonts w:ascii="Calibri" w:cs="Calibri" w:eastAsia="Calibri" w:hAnsi="Calibri"/>
          <w:color w:val="1A2E33"/>
          <w:sz w:val="20"/>
          <w:szCs w:val="20"/>
        </w:rPr>
        <w:t xml:space="preserve">Circulation. 2007;115(17):2358–2368.</w:t>
      </w:r>
    </w:p>
    <w:p>
      <w:pPr>
        <w:spacing w:after="100" w:line="264"/>
        <w:ind w:left="360" w:hanging="360"/>
      </w:pPr>
      <w:r>
        <w:rPr>
          <w:rFonts w:ascii="Calibri" w:cs="Calibri" w:eastAsia="Calibri" w:hAnsi="Calibri"/>
          <w:color w:val="1A2E33"/>
          <w:sz w:val="20"/>
          <w:szCs w:val="20"/>
        </w:rPr>
        <w:t xml:space="preserve">8.	</w:t>
      </w:r>
      <w:r>
        <w:rPr>
          <w:rFonts w:ascii="Calibri" w:cs="Calibri" w:eastAsia="Calibri" w:hAnsi="Calibri"/>
          <w:color w:val="1A2E33"/>
          <w:sz w:val="20"/>
          <w:szCs w:val="20"/>
        </w:rPr>
        <w:t xml:space="preserve">Voskoboinik A, Prabhu S, Ling LH, Kalman JM, Kistler PM. </w:t>
      </w:r>
      <w:r>
        <w:rPr>
          <w:rFonts w:ascii="Calibri" w:cs="Calibri" w:eastAsia="Calibri" w:hAnsi="Calibri"/>
          <w:i/>
          <w:iCs/>
          <w:color w:val="1A2E33"/>
          <w:sz w:val="20"/>
          <w:szCs w:val="20"/>
        </w:rPr>
        <w:t xml:space="preserve">Alcohol and atrial fibrillation: a sobering review. </w:t>
      </w:r>
      <w:r>
        <w:rPr>
          <w:rFonts w:ascii="Calibri" w:cs="Calibri" w:eastAsia="Calibri" w:hAnsi="Calibri"/>
          <w:color w:val="1A2E33"/>
          <w:sz w:val="20"/>
          <w:szCs w:val="20"/>
        </w:rPr>
        <w:t xml:space="preserve">Journal of the American College of Cardiology. 2016;68(23):2567–2576.</w:t>
      </w:r>
    </w:p>
    <w:p>
      <w:pPr>
        <w:spacing w:after="100" w:line="264"/>
        <w:ind w:left="360" w:hanging="360"/>
      </w:pPr>
      <w:r>
        <w:rPr>
          <w:rFonts w:ascii="Calibri" w:cs="Calibri" w:eastAsia="Calibri" w:hAnsi="Calibri"/>
          <w:color w:val="1A2E33"/>
          <w:sz w:val="20"/>
          <w:szCs w:val="20"/>
        </w:rPr>
        <w:t xml:space="preserve">9.	</w:t>
      </w:r>
      <w:r>
        <w:rPr>
          <w:rFonts w:ascii="Calibri" w:cs="Calibri" w:eastAsia="Calibri" w:hAnsi="Calibri"/>
          <w:color w:val="1A2E33"/>
          <w:sz w:val="20"/>
          <w:szCs w:val="20"/>
        </w:rPr>
        <w:t xml:space="preserve">Horvath SM, Raven PB, Dahms TE, Gray DJ. </w:t>
      </w:r>
      <w:r>
        <w:rPr>
          <w:rFonts w:ascii="Calibri" w:cs="Calibri" w:eastAsia="Calibri" w:hAnsi="Calibri"/>
          <w:i/>
          <w:iCs/>
          <w:color w:val="1A2E33"/>
          <w:sz w:val="20"/>
          <w:szCs w:val="20"/>
        </w:rPr>
        <w:t xml:space="preserve">Maximal aerobic capacity at different levels of carboxyhemoglobin. </w:t>
      </w:r>
      <w:r>
        <w:rPr>
          <w:rFonts w:ascii="Calibri" w:cs="Calibri" w:eastAsia="Calibri" w:hAnsi="Calibri"/>
          <w:color w:val="1A2E33"/>
          <w:sz w:val="20"/>
          <w:szCs w:val="20"/>
        </w:rPr>
        <w:t xml:space="preserve">Journal of Applied Physiology. 1975;38(2):300–303.</w:t>
      </w:r>
    </w:p>
    <w:p>
      <w:pPr>
        <w:spacing w:after="100" w:line="264"/>
        <w:ind w:left="360" w:hanging="360"/>
      </w:pPr>
      <w:r>
        <w:rPr>
          <w:rFonts w:ascii="Calibri" w:cs="Calibri" w:eastAsia="Calibri" w:hAnsi="Calibri"/>
          <w:color w:val="1A2E33"/>
          <w:sz w:val="20"/>
          <w:szCs w:val="20"/>
        </w:rPr>
        <w:t xml:space="preserve">10.	</w:t>
      </w:r>
      <w:r>
        <w:rPr>
          <w:rFonts w:ascii="Calibri" w:cs="Calibri" w:eastAsia="Calibri" w:hAnsi="Calibri"/>
          <w:color w:val="1A2E33"/>
          <w:sz w:val="20"/>
          <w:szCs w:val="20"/>
        </w:rPr>
        <w:t xml:space="preserve">Myers J, Kaminsky LA, Lima R, Christle JW, Ashley E, Arena R. </w:t>
      </w:r>
      <w:r>
        <w:rPr>
          <w:rFonts w:ascii="Calibri" w:cs="Calibri" w:eastAsia="Calibri" w:hAnsi="Calibri"/>
          <w:i/>
          <w:iCs/>
          <w:color w:val="1A2E33"/>
          <w:sz w:val="20"/>
          <w:szCs w:val="20"/>
        </w:rPr>
        <w:t xml:space="preserve">A reference equation for normal standards for VO₂ max (FRIEND Registry). </w:t>
      </w:r>
      <w:r>
        <w:rPr>
          <w:rFonts w:ascii="Calibri" w:cs="Calibri" w:eastAsia="Calibri" w:hAnsi="Calibri"/>
          <w:color w:val="1A2E33"/>
          <w:sz w:val="20"/>
          <w:szCs w:val="20"/>
        </w:rPr>
        <w:t xml:space="preserve">Progress in Cardiovascular Diseases. 2017;60(1):21–29.</w:t>
      </w:r>
    </w:p>
    <w:p>
      <w:pPr>
        <w:spacing w:after="100" w:line="264"/>
        <w:ind w:left="360" w:hanging="360"/>
      </w:pPr>
      <w:r>
        <w:rPr>
          <w:rFonts w:ascii="Calibri" w:cs="Calibri" w:eastAsia="Calibri" w:hAnsi="Calibri"/>
          <w:color w:val="1A2E33"/>
          <w:sz w:val="20"/>
          <w:szCs w:val="20"/>
        </w:rPr>
        <w:t xml:space="preserve">11.	</w:t>
      </w:r>
      <w:r>
        <w:rPr>
          <w:rFonts w:ascii="Calibri" w:cs="Calibri" w:eastAsia="Calibri" w:hAnsi="Calibri"/>
          <w:color w:val="1A2E33"/>
          <w:sz w:val="20"/>
          <w:szCs w:val="20"/>
        </w:rPr>
        <w:t xml:space="preserve">Batacan RB Jr, Duncan MJ, Dalbo VJ, Tucker PS, Fenning AS. </w:t>
      </w:r>
      <w:r>
        <w:rPr>
          <w:rFonts w:ascii="Calibri" w:cs="Calibri" w:eastAsia="Calibri" w:hAnsi="Calibri"/>
          <w:i/>
          <w:iCs/>
          <w:color w:val="1A2E33"/>
          <w:sz w:val="20"/>
          <w:szCs w:val="20"/>
        </w:rPr>
        <w:t xml:space="preserve">Effects of high-intensity interval training on cardiometabolic health: a systematic review and meta-analysis of intervention studies. </w:t>
      </w:r>
      <w:r>
        <w:rPr>
          <w:rFonts w:ascii="Calibri" w:cs="Calibri" w:eastAsia="Calibri" w:hAnsi="Calibri"/>
          <w:color w:val="1A2E33"/>
          <w:sz w:val="20"/>
          <w:szCs w:val="20"/>
        </w:rPr>
        <w:t xml:space="preserve">British Journal of Sports Medicine. 2017;51(6):494–503.</w:t>
      </w:r>
    </w:p>
    <w:p>
      <w:pPr>
        <w:spacing w:after="100" w:line="264"/>
        <w:ind w:left="360" w:hanging="360"/>
      </w:pPr>
      <w:r>
        <w:rPr>
          <w:rFonts w:ascii="Calibri" w:cs="Calibri" w:eastAsia="Calibri" w:hAnsi="Calibri"/>
          <w:color w:val="1A2E33"/>
          <w:sz w:val="20"/>
          <w:szCs w:val="20"/>
        </w:rPr>
        <w:t xml:space="preserve">12.	</w:t>
      </w:r>
      <w:r>
        <w:rPr>
          <w:rFonts w:ascii="Calibri" w:cs="Calibri" w:eastAsia="Calibri" w:hAnsi="Calibri"/>
          <w:color w:val="1A2E33"/>
          <w:sz w:val="20"/>
          <w:szCs w:val="20"/>
        </w:rPr>
        <w:t xml:space="preserve">Church TS, Blair SN, Cocreham S, et al. </w:t>
      </w:r>
      <w:r>
        <w:rPr>
          <w:rFonts w:ascii="Calibri" w:cs="Calibri" w:eastAsia="Calibri" w:hAnsi="Calibri"/>
          <w:i/>
          <w:iCs/>
          <w:color w:val="1A2E33"/>
          <w:sz w:val="20"/>
          <w:szCs w:val="20"/>
        </w:rPr>
        <w:t xml:space="preserve">Effects of aerobic and resistance training on hemoglobin A1c levels in patients with type 2 diabetes: a randomized controlled trial. </w:t>
      </w:r>
      <w:r>
        <w:rPr>
          <w:rFonts w:ascii="Calibri" w:cs="Calibri" w:eastAsia="Calibri" w:hAnsi="Calibri"/>
          <w:color w:val="1A2E33"/>
          <w:sz w:val="20"/>
          <w:szCs w:val="20"/>
        </w:rPr>
        <w:t xml:space="preserve">JAMA. 2010;304(20):2253–2262.</w:t>
      </w:r>
    </w:p>
    <w:p>
      <w:pPr>
        <w:spacing w:after="100" w:line="264"/>
        <w:ind w:left="360" w:hanging="360"/>
      </w:pPr>
      <w:r>
        <w:rPr>
          <w:rFonts w:ascii="Calibri" w:cs="Calibri" w:eastAsia="Calibri" w:hAnsi="Calibri"/>
          <w:color w:val="1A2E33"/>
          <w:sz w:val="20"/>
          <w:szCs w:val="20"/>
        </w:rPr>
        <w:t xml:space="preserve">13.	</w:t>
      </w:r>
      <w:r>
        <w:rPr>
          <w:rFonts w:ascii="Calibri" w:cs="Calibri" w:eastAsia="Calibri" w:hAnsi="Calibri"/>
          <w:color w:val="1A2E33"/>
          <w:sz w:val="20"/>
          <w:szCs w:val="20"/>
        </w:rPr>
        <w:t xml:space="preserve">Umpierre D, Ribeiro PA, Kramer CK, et al. </w:t>
      </w:r>
      <w:r>
        <w:rPr>
          <w:rFonts w:ascii="Calibri" w:cs="Calibri" w:eastAsia="Calibri" w:hAnsi="Calibri"/>
          <w:i/>
          <w:iCs/>
          <w:color w:val="1A2E33"/>
          <w:sz w:val="20"/>
          <w:szCs w:val="20"/>
        </w:rPr>
        <w:t xml:space="preserve">Physical activity advice only or structured exercise training and association with HbA1c levels in type 2 diabetes: a systematic review and meta-analysis. </w:t>
      </w:r>
      <w:r>
        <w:rPr>
          <w:rFonts w:ascii="Calibri" w:cs="Calibri" w:eastAsia="Calibri" w:hAnsi="Calibri"/>
          <w:color w:val="1A2E33"/>
          <w:sz w:val="20"/>
          <w:szCs w:val="20"/>
        </w:rPr>
        <w:t xml:space="preserve">JAMA. 2011;305(17):1790–1799.</w:t>
      </w:r>
    </w:p>
    <w:p>
      <w:pPr>
        <w:spacing w:after="100" w:line="264"/>
        <w:ind w:left="360" w:hanging="360"/>
      </w:pPr>
      <w:r>
        <w:rPr>
          <w:rFonts w:ascii="Calibri" w:cs="Calibri" w:eastAsia="Calibri" w:hAnsi="Calibri"/>
          <w:color w:val="1A2E33"/>
          <w:sz w:val="20"/>
          <w:szCs w:val="20"/>
        </w:rPr>
        <w:t xml:space="preserve">14.	</w:t>
      </w:r>
      <w:r>
        <w:rPr>
          <w:rFonts w:ascii="Calibri" w:cs="Calibri" w:eastAsia="Calibri" w:hAnsi="Calibri"/>
          <w:color w:val="1A2E33"/>
          <w:sz w:val="20"/>
          <w:szCs w:val="20"/>
        </w:rPr>
        <w:t xml:space="preserve">Knowler WC, Barrett-Connor E, Fowler SE, et al.; Diabetes Prevention Program Research Group. </w:t>
      </w:r>
      <w:r>
        <w:rPr>
          <w:rFonts w:ascii="Calibri" w:cs="Calibri" w:eastAsia="Calibri" w:hAnsi="Calibri"/>
          <w:i/>
          <w:iCs/>
          <w:color w:val="1A2E33"/>
          <w:sz w:val="20"/>
          <w:szCs w:val="20"/>
        </w:rPr>
        <w:t xml:space="preserve">Reduction in the incidence of type 2 diabetes with lifestyle intervention or metformin. </w:t>
      </w:r>
      <w:r>
        <w:rPr>
          <w:rFonts w:ascii="Calibri" w:cs="Calibri" w:eastAsia="Calibri" w:hAnsi="Calibri"/>
          <w:color w:val="1A2E33"/>
          <w:sz w:val="20"/>
          <w:szCs w:val="20"/>
        </w:rPr>
        <w:t xml:space="preserve">New England Journal of Medicine. 2002;346(6):393–403.</w:t>
      </w:r>
    </w:p>
    <w:p>
      <w:pPr>
        <w:spacing w:after="100" w:line="264"/>
        <w:ind w:left="360" w:hanging="360"/>
      </w:pPr>
      <w:r>
        <w:rPr>
          <w:rFonts w:ascii="Calibri" w:cs="Calibri" w:eastAsia="Calibri" w:hAnsi="Calibri"/>
          <w:color w:val="1A2E33"/>
          <w:sz w:val="20"/>
          <w:szCs w:val="20"/>
        </w:rPr>
        <w:t xml:space="preserve">15.	</w:t>
      </w:r>
      <w:r>
        <w:rPr>
          <w:rFonts w:ascii="Calibri" w:cs="Calibri" w:eastAsia="Calibri" w:hAnsi="Calibri"/>
          <w:color w:val="1A2E33"/>
          <w:sz w:val="20"/>
          <w:szCs w:val="20"/>
        </w:rPr>
        <w:t xml:space="preserve">Wing RR, Bolin P, Brancati FL, et al.; Look AHEAD Research Group. </w:t>
      </w:r>
      <w:r>
        <w:rPr>
          <w:rFonts w:ascii="Calibri" w:cs="Calibri" w:eastAsia="Calibri" w:hAnsi="Calibri"/>
          <w:i/>
          <w:iCs/>
          <w:color w:val="1A2E33"/>
          <w:sz w:val="20"/>
          <w:szCs w:val="20"/>
        </w:rPr>
        <w:t xml:space="preserve">Cardiovascular effects of intensive lifestyle intervention in type 2 diabetes. </w:t>
      </w:r>
      <w:r>
        <w:rPr>
          <w:rFonts w:ascii="Calibri" w:cs="Calibri" w:eastAsia="Calibri" w:hAnsi="Calibri"/>
          <w:color w:val="1A2E33"/>
          <w:sz w:val="20"/>
          <w:szCs w:val="20"/>
        </w:rPr>
        <w:t xml:space="preserve">New England Journal of Medicine. 2013;369(2):145–154.</w:t>
      </w:r>
    </w:p>
    <w:p>
      <w:pPr>
        <w:spacing w:after="100" w:line="264"/>
        <w:ind w:left="360" w:hanging="360"/>
      </w:pPr>
      <w:r>
        <w:rPr>
          <w:rFonts w:ascii="Calibri" w:cs="Calibri" w:eastAsia="Calibri" w:hAnsi="Calibri"/>
          <w:color w:val="1A2E33"/>
          <w:sz w:val="20"/>
          <w:szCs w:val="20"/>
        </w:rPr>
        <w:t xml:space="preserve">16.	</w:t>
      </w:r>
      <w:r>
        <w:rPr>
          <w:rFonts w:ascii="Calibri" w:cs="Calibri" w:eastAsia="Calibri" w:hAnsi="Calibri"/>
          <w:color w:val="1A2E33"/>
          <w:sz w:val="20"/>
          <w:szCs w:val="20"/>
        </w:rPr>
        <w:t xml:space="preserve">DiPietro L, Gribok A, Stevens MS, Hamm LF, Rumpler W. </w:t>
      </w:r>
      <w:r>
        <w:rPr>
          <w:rFonts w:ascii="Calibri" w:cs="Calibri" w:eastAsia="Calibri" w:hAnsi="Calibri"/>
          <w:i/>
          <w:iCs/>
          <w:color w:val="1A2E33"/>
          <w:sz w:val="20"/>
          <w:szCs w:val="20"/>
        </w:rPr>
        <w:t xml:space="preserve">Three 15-min bouts of moderate postmeal walking significantly improves 24-h glycemic control in older people at risk for impaired glucose tolerance. </w:t>
      </w:r>
      <w:r>
        <w:rPr>
          <w:rFonts w:ascii="Calibri" w:cs="Calibri" w:eastAsia="Calibri" w:hAnsi="Calibri"/>
          <w:color w:val="1A2E33"/>
          <w:sz w:val="20"/>
          <w:szCs w:val="20"/>
        </w:rPr>
        <w:t xml:space="preserve">Diabetes Care. 2013;36(10):3262–3268.</w:t>
      </w:r>
    </w:p>
    <w:p>
      <w:pPr>
        <w:spacing w:after="100" w:line="264"/>
        <w:ind w:left="360" w:hanging="360"/>
      </w:pPr>
      <w:r>
        <w:rPr>
          <w:rFonts w:ascii="Calibri" w:cs="Calibri" w:eastAsia="Calibri" w:hAnsi="Calibri"/>
          <w:color w:val="1A2E33"/>
          <w:sz w:val="20"/>
          <w:szCs w:val="20"/>
        </w:rPr>
        <w:t xml:space="preserve">17.	</w:t>
      </w:r>
      <w:r>
        <w:rPr>
          <w:rFonts w:ascii="Calibri" w:cs="Calibri" w:eastAsia="Calibri" w:hAnsi="Calibri"/>
          <w:color w:val="1A2E33"/>
          <w:sz w:val="20"/>
          <w:szCs w:val="20"/>
        </w:rPr>
        <w:t xml:space="preserve">Reynolds AN, Mann JI, Williams S, Venn BJ. </w:t>
      </w:r>
      <w:r>
        <w:rPr>
          <w:rFonts w:ascii="Calibri" w:cs="Calibri" w:eastAsia="Calibri" w:hAnsi="Calibri"/>
          <w:i/>
          <w:iCs/>
          <w:color w:val="1A2E33"/>
          <w:sz w:val="20"/>
          <w:szCs w:val="20"/>
        </w:rPr>
        <w:t xml:space="preserve">Advice to walk after meals is more effective for lowering postprandial glycaemia in type 2 diabetes mellitus than advice that does not specify timing: a randomised crossover study. </w:t>
      </w:r>
      <w:r>
        <w:rPr>
          <w:rFonts w:ascii="Calibri" w:cs="Calibri" w:eastAsia="Calibri" w:hAnsi="Calibri"/>
          <w:color w:val="1A2E33"/>
          <w:sz w:val="20"/>
          <w:szCs w:val="20"/>
        </w:rPr>
        <w:t xml:space="preserve">Diabetologia. 2016;59(12):2572–2578.</w:t>
      </w:r>
    </w:p>
    <w:p>
      <w:pPr>
        <w:spacing w:after="100" w:line="264"/>
        <w:ind w:left="360" w:hanging="360"/>
      </w:pPr>
      <w:r>
        <w:rPr>
          <w:rFonts w:ascii="Calibri" w:cs="Calibri" w:eastAsia="Calibri" w:hAnsi="Calibri"/>
          <w:color w:val="1A2E33"/>
          <w:sz w:val="20"/>
          <w:szCs w:val="20"/>
        </w:rPr>
        <w:t xml:space="preserve">18.	</w:t>
      </w:r>
      <w:r>
        <w:rPr>
          <w:rFonts w:ascii="Calibri" w:cs="Calibri" w:eastAsia="Calibri" w:hAnsi="Calibri"/>
          <w:color w:val="1A2E33"/>
          <w:sz w:val="20"/>
          <w:szCs w:val="20"/>
        </w:rPr>
        <w:t xml:space="preserve">Parr EB, Camera DM, Areta JL, et al. </w:t>
      </w:r>
      <w:r>
        <w:rPr>
          <w:rFonts w:ascii="Calibri" w:cs="Calibri" w:eastAsia="Calibri" w:hAnsi="Calibri"/>
          <w:i/>
          <w:iCs/>
          <w:color w:val="1A2E33"/>
          <w:sz w:val="20"/>
          <w:szCs w:val="20"/>
        </w:rPr>
        <w:t xml:space="preserve">Alcohol ingestion impairs maximal post-exercise rates of myofibrillar protein synthesis following a single bout of concurrent training. </w:t>
      </w:r>
      <w:r>
        <w:rPr>
          <w:rFonts w:ascii="Calibri" w:cs="Calibri" w:eastAsia="Calibri" w:hAnsi="Calibri"/>
          <w:color w:val="1A2E33"/>
          <w:sz w:val="20"/>
          <w:szCs w:val="20"/>
        </w:rPr>
        <w:t xml:space="preserve">PLOS One. 2014;9(2):e88384.</w:t>
      </w:r>
    </w:p>
    <w:p>
      <w:pPr>
        <w:spacing w:after="100" w:line="264"/>
        <w:ind w:left="360" w:hanging="360"/>
      </w:pPr>
      <w:r>
        <w:rPr>
          <w:rFonts w:ascii="Calibri" w:cs="Calibri" w:eastAsia="Calibri" w:hAnsi="Calibri"/>
          <w:color w:val="1A2E33"/>
          <w:sz w:val="20"/>
          <w:szCs w:val="20"/>
        </w:rPr>
        <w:t xml:space="preserve">19.	</w:t>
      </w:r>
      <w:r>
        <w:rPr>
          <w:rFonts w:ascii="Calibri" w:cs="Calibri" w:eastAsia="Calibri" w:hAnsi="Calibri"/>
          <w:color w:val="1A2E33"/>
          <w:sz w:val="20"/>
          <w:szCs w:val="20"/>
        </w:rPr>
        <w:t xml:space="preserve">Spathis D, Perez-Pozuelo I, Gonzales TI, et al. </w:t>
      </w:r>
      <w:r>
        <w:rPr>
          <w:rFonts w:ascii="Calibri" w:cs="Calibri" w:eastAsia="Calibri" w:hAnsi="Calibri"/>
          <w:i/>
          <w:iCs/>
          <w:color w:val="1A2E33"/>
          <w:sz w:val="20"/>
          <w:szCs w:val="20"/>
        </w:rPr>
        <w:t xml:space="preserve">Longitudinal cardio-respiratory fitness prediction through wearables in free-living environments. </w:t>
      </w:r>
      <w:r>
        <w:rPr>
          <w:rFonts w:ascii="Calibri" w:cs="Calibri" w:eastAsia="Calibri" w:hAnsi="Calibri"/>
          <w:color w:val="1A2E33"/>
          <w:sz w:val="20"/>
          <w:szCs w:val="20"/>
        </w:rPr>
        <w:t xml:space="preserve">npj Digital Medicine. 2022;5:176.</w:t>
      </w:r>
    </w:p>
    <w:p>
      <w:pPr>
        <w:spacing w:after="100" w:line="264"/>
        <w:ind w:left="360" w:hanging="360"/>
      </w:pPr>
      <w:r>
        <w:rPr>
          <w:rFonts w:ascii="Calibri" w:cs="Calibri" w:eastAsia="Calibri" w:hAnsi="Calibri"/>
          <w:color w:val="1A2E33"/>
          <w:sz w:val="20"/>
          <w:szCs w:val="20"/>
        </w:rPr>
        <w:t xml:space="preserve">20.	</w:t>
      </w:r>
      <w:r>
        <w:rPr>
          <w:rFonts w:ascii="Calibri" w:cs="Calibri" w:eastAsia="Calibri" w:hAnsi="Calibri"/>
          <w:color w:val="1A2E33"/>
          <w:sz w:val="20"/>
          <w:szCs w:val="20"/>
        </w:rPr>
        <w:t xml:space="preserve">Liao P, Klasnja P, Murphy S. </w:t>
      </w:r>
      <w:r>
        <w:rPr>
          <w:rFonts w:ascii="Calibri" w:cs="Calibri" w:eastAsia="Calibri" w:hAnsi="Calibri"/>
          <w:i/>
          <w:iCs/>
          <w:color w:val="1A2E33"/>
          <w:sz w:val="20"/>
          <w:szCs w:val="20"/>
        </w:rPr>
        <w:t xml:space="preserve">Off-policy estimation of long-term average outcomes with applications to mobile health (HeartSteps). </w:t>
      </w:r>
      <w:r>
        <w:rPr>
          <w:rFonts w:ascii="Calibri" w:cs="Calibri" w:eastAsia="Calibri" w:hAnsi="Calibri"/>
          <w:color w:val="1A2E33"/>
          <w:sz w:val="20"/>
          <w:szCs w:val="20"/>
        </w:rPr>
        <w:t xml:space="preserve">Journal of the American Statistical Association. 2021;116(533):382–391.</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A6B70"/>
        <w:sz w:val="16"/>
        <w:szCs w:val="16"/>
      </w:rPr>
      <w:t xml:space="preserve">Confidential · Verbal · </w:t>
    </w:r>
    <w:r>
      <w:rPr>
        <w:rFonts w:ascii="Calibri" w:cs="Calibri" w:eastAsia="Calibri" w:hAnsi="Calibri"/>
        <w:color w:val="5A6B7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5A6B70"/>
        <w:sz w:val="16"/>
        <w:szCs w:val="16"/>
      </w:rPr>
      <w:t xml:space="preserve">Proposed Clinical Protocol — VO₂-Optimizing Program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VO2-Optimizing Program Protocol</dc:title>
  <dc:creator>Verbal</dc:creator>
  <cp:lastModifiedBy>Un-named</cp:lastModifiedBy>
  <cp:revision>1</cp:revision>
  <dcterms:created xsi:type="dcterms:W3CDTF">2026-07-16T06:46:39.004Z</dcterms:created>
  <dcterms:modified xsi:type="dcterms:W3CDTF">2026-07-16T06:46:39.004Z</dcterms:modified>
</cp:coreProperties>
</file>

<file path=docProps/custom.xml><?xml version="1.0" encoding="utf-8"?>
<Properties xmlns="http://schemas.openxmlformats.org/officeDocument/2006/custom-properties" xmlns:vt="http://schemas.openxmlformats.org/officeDocument/2006/docPropsVTypes"/>
</file>