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026773"/>
          <w:spacing w:val="40"/>
          <w:sz w:val="18"/>
          <w:szCs w:val="18"/>
        </w:rPr>
        <w:t xml:space="preserve">EXECUTIVE SUMMARY</w:t>
      </w:r>
    </w:p>
    <w:p>
      <w:pPr>
        <w:spacing w:after="24"/>
      </w:pPr>
      <w:r>
        <w:rPr>
          <w:rFonts w:ascii="Cambria" w:cs="Cambria" w:eastAsia="Cambria" w:hAnsi="Cambria"/>
          <w:b/>
          <w:bCs/>
          <w:color w:val="0B2027"/>
          <w:sz w:val="32"/>
          <w:szCs w:val="32"/>
        </w:rPr>
        <w:t xml:space="preserve">The Missing Vital Sign</w:t>
      </w:r>
    </w:p>
    <w:p>
      <w:pPr>
        <w:pBdr>
          <w:bottom w:val="single" w:color="026773" w:sz="10" w:space="5"/>
        </w:pBdr>
        <w:spacing w:after="120"/>
      </w:pPr>
      <w:r>
        <w:rPr>
          <w:rFonts w:ascii="Cambria" w:cs="Cambria" w:eastAsia="Cambria" w:hAnsi="Cambria"/>
          <w:i/>
          <w:iCs/>
          <w:color w:val="5E767D"/>
          <w:sz w:val="22"/>
          <w:szCs w:val="22"/>
        </w:rPr>
        <w:t xml:space="preserve">VO₂ max as the control signal for cardiometabolic disease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Thesis.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Cardiorespiratory fitness (VO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max) is the strongest modifiable predictor of cardiometabolic death, every major wearable already estimates it, and no one manages it as a clinical signal. We turn continuously-estimated fitness into a managed clinical vital sign, using stochastic state-space models and learning networks to predict and lower cardiometabolic risk.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Problem.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Cardiometabolic disease is the largest, fastest-growing cost in medicine: US diabetes alone runs $413B a year and one in four healthcare dollars; the AHA projects 61% of US adults will have cardiovascular disease by 2050. These conditions share a measurable early-warning signal, declining aerobic capacity, that clinical care does not track.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Signal.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In a 122,007-patient cohort, low fitness carried a higher mortality hazard than smoking, diabetes, or coronary disease; risk falls ~14% per 1-MET gain with no observed ceiling. The AHA already designates fitness a clinical vital sign, and a 2025 clinical-cardiology review confirms 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 as an independent predictor across heart failure, coronary disease, and metabolic conditions. Crucially, fitness is reversible: moving from unfit to fit cuts all-cause mortality ~44%, and 12-week interval-training programs raise 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 with a large effect size while improving glucose, blood pressure, and body composition.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Why fitness, not a panel.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A fair challenge is whether a fixed panel, blood pressure, HbA1c, creatinine clearance, BNP, and BMI or body-fat percentage, would manage the disease better than one fitness number. For management, it would not. A panel measures the state of single organs; VO₂ max measures the integrated output of the whole system, heart, lungs, blood, vessels, and muscle metabolism, and in head-to-head cohorts it equals or beats those same risk factors at predicting death [3,5,7]. The panel still wins on diagnosis, it localizes which organ is failing, but for risk stratification and for tracking whether a treatment plan is working, the integrative signal is superior, and it is the only one of these estimable passively and continuously from a wearable.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Why now.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Three shifts converged. 560M+ wearables now output a 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 estimate passively; a guideline body already calls fitness a vital sign; and state-space filtering plus wearable foundation models can convert noisy free-living data into a calibrated fitness trajectory. Cambridge's Fenland study already predicted free-living 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 at r ≈ 0.82 and tracked change over time.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Gap.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Cardiometabolic incumbents (Twin, Virta, Omada) manage weight and glucose; CGM players manage glucose; wearable makers treat VO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₂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 max as consumer fitness data. No one operationalizes continuously-estimated fitness as a clinical management signal. The number already exists on hundreds of millions of wrists.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Approach.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A closed loop across three technical moats. (1) Estimation: fuse repeated free-living readings into a filtered latent state, overcoming the wide per-reading error of any single device. (2) Stochastic models: Kalman/EKF/UKF tracking, hidden Markov segmentation, particle filters, and Gaussian processes recover the true fitness trajectory with calibrated uncertainty. (3) Learning networks: LSTM and transformer encoders, DeepSurv/DeepHit survival models for time-to-event risk, and reinforcement-learning dosing of intervention. The 2025 clinical review independently endorses this ML-plus-wearable direction.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Market.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The cardiovascular digital-health segment grows from ~$42B (2024) to ~$141B (2030E) at ~22.5% CAGR. Medicare RPM codes already reimburse device-based physiologic monitoring at ~$120+/patient/month; the SaMD regulatory path is defined; and the AHA vital-sign mandate precedes the tooling.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Why we win.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Hardware-agnostic (we ride the wearable distribution rather than compete with it); a data flywheel as filtered trajectories train proprietary risk and dosing models; a reimbursable clinical framing rather than another consumer score; and timing, as guideline mandate, wearable ubiquity, and model maturity all arrived at once.</w:t>
      </w:r>
    </w:p>
    <w:p>
      <w:pPr>
        <w:spacing w:after="100" w:line="248"/>
        <w:jc w:val="both"/>
      </w:pPr>
      <w:r>
        <w:rPr>
          <w:rFonts w:ascii="Calibri" w:cs="Calibri" w:eastAsia="Calibri" w:hAnsi="Calibri"/>
          <w:b/>
          <w:bCs/>
          <w:color w:val="026773"/>
          <w:sz w:val="19"/>
          <w:szCs w:val="19"/>
        </w:rPr>
        <w:t xml:space="preserve">Proof plan.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2E33"/>
          <w:sz w:val="19"/>
          <w:szCs w:val="19"/>
        </w:rPr>
        <w:t xml:space="preserve">Phase 1, estimation validity against CPET; Phase 2, predictive lift over standard risk scores in linked data; Phase 3, a prospective trial that the closed loop raises fitness and lowers measured risk versus usual care.</w:t>
      </w:r>
    </w:p>
    <w:p>
      <w:pPr>
        <w:pBdr>
          <w:top w:val="single" w:color="D8E3E4" w:sz="8" w:space="6"/>
        </w:pBdr>
        <w:spacing w:before="60"/>
      </w:pPr>
      <w:r>
        <w:rPr>
          <w:rFonts w:ascii="Calibri" w:cs="Calibri" w:eastAsia="Calibri" w:hAnsi="Calibri"/>
          <w:i/>
          <w:iCs/>
          <w:color w:val="5E767D"/>
          <w:sz w:val="15"/>
          <w:szCs w:val="15"/>
        </w:rPr>
        <w:t xml:space="preserve">Confidential · Verbal · July 2026. Full evidence base and reference list in the accompanying Scientific Appendix.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E33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VO2 max Cardiometabolic — Executive Summary</dc:title>
  <dc:creator>Verbal</dc:creator>
  <cp:lastModifiedBy>Un-named</cp:lastModifiedBy>
  <cp:revision>1</cp:revision>
  <dcterms:created xsi:type="dcterms:W3CDTF">2026-07-16T06:11:07.201Z</dcterms:created>
  <dcterms:modified xsi:type="dcterms:W3CDTF">2026-07-16T06:11:07.201Z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