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rFonts w:ascii="Calibri" w:cs="Calibri" w:eastAsia="Calibri" w:hAnsi="Calibri"/>
          <w:b/>
          <w:bCs/>
          <w:color w:val="026773"/>
          <w:spacing w:val="40"/>
          <w:sz w:val="20"/>
          <w:szCs w:val="20"/>
        </w:rPr>
        <w:t xml:space="preserve">SCIENTIFIC APPENDIX</w:t>
      </w:r>
    </w:p>
    <w:p>
      <w:pPr>
        <w:spacing w:after="60"/>
      </w:pPr>
      <w:r>
        <w:rPr>
          <w:rFonts w:ascii="Cambria" w:cs="Cambria" w:eastAsia="Cambria" w:hAnsi="Cambria"/>
          <w:b/>
          <w:bCs/>
          <w:color w:val="0B2027"/>
          <w:sz w:val="36"/>
          <w:szCs w:val="36"/>
        </w:rPr>
        <w:t xml:space="preserve">VO₂ max as a Physiological Biomarker for the Management of Cardiometabolic Disease</w:t>
      </w:r>
    </w:p>
    <w:p>
      <w:pPr>
        <w:spacing w:after="40"/>
      </w:pPr>
      <w:r>
        <w:rPr>
          <w:rFonts w:ascii="Cambria" w:cs="Cambria" w:eastAsia="Cambria" w:hAnsi="Cambria"/>
          <w:i/>
          <w:iCs/>
          <w:color w:val="5E767D"/>
          <w:sz w:val="24"/>
          <w:szCs w:val="24"/>
        </w:rPr>
        <w:t xml:space="preserve">Evidence base, measurement pathway, and algorithmic approach</w:t>
      </w:r>
    </w:p>
    <w:p>
      <w:pPr>
        <w:pBdr>
          <w:bottom w:val="single" w:color="026773" w:sz="12" w:space="6"/>
        </w:pBdr>
        <w:spacing w:after="60"/>
      </w:pPr>
      <w:r>
        <w:rPr>
          <w:rFonts w:ascii="Calibri" w:cs="Calibri" w:eastAsia="Calibri" w:hAnsi="Calibri"/>
          <w:color w:val="5E767D"/>
          <w:sz w:val="18"/>
          <w:szCs w:val="18"/>
        </w:rPr>
        <w:t xml:space="preserve">Companion to the investor thesis · Prepared July 2026 · Confidential</w:t>
      </w:r>
    </w:p>
    <w:p>
      <w:pPr>
        <w:pStyle w:val="Heading1"/>
        <w:spacing w:after="140" w:before="320"/>
      </w:pPr>
      <w:r>
        <w:rPr>
          <w:rFonts w:ascii="Cambria" w:cs="Cambria" w:eastAsia="Cambria" w:hAnsi="Cambria"/>
          <w:b/>
          <w:bCs/>
          <w:color w:val="0B2027"/>
          <w:sz w:val="30"/>
          <w:szCs w:val="30"/>
        </w:rPr>
        <w:t xml:space="preserve">1.  Purpose and scope</w:t>
      </w:r>
    </w:p>
    <w:p>
      <w:pPr>
        <w:spacing w:after="140" w:line="276"/>
        <w:jc w:val="both"/>
      </w:pPr>
      <w:r>
        <w:rPr>
          <w:rFonts w:ascii="Calibri" w:cs="Calibri" w:eastAsia="Calibri" w:hAnsi="Calibri"/>
          <w:b w:val="false"/>
          <w:bCs w:val="false"/>
          <w:i w:val="false"/>
          <w:iCs w:val="false"/>
          <w:color w:val="1A2E33"/>
          <w:sz w:val="21"/>
          <w:szCs w:val="21"/>
        </w:rPr>
        <w:t xml:space="preserve">This appendix documents the scientific basis for the thesis that cardiorespiratory fitness (CRF), quantified as maximal oxygen uptake (VO</w:t>
      </w:r>
      <w:r>
        <w:rPr>
          <w:rFonts w:ascii="Calibri" w:cs="Calibri" w:eastAsia="Calibri" w:hAnsi="Calibri"/>
          <w:b w:val="false"/>
          <w:bCs w:val="false"/>
          <w:i w:val="false"/>
          <w:iCs w:val="false"/>
          <w:color w:val="1A2E33"/>
          <w:sz w:val="21"/>
          <w:szCs w:val="21"/>
        </w:rPr>
        <w:t xml:space="preserve">₂</w:t>
      </w:r>
      <w:r>
        <w:rPr>
          <w:rFonts w:ascii="Calibri" w:cs="Calibri" w:eastAsia="Calibri" w:hAnsi="Calibri"/>
          <w:b w:val="false"/>
          <w:bCs w:val="false"/>
          <w:i w:val="false"/>
          <w:iCs w:val="false"/>
          <w:color w:val="1A2E33"/>
          <w:sz w:val="21"/>
          <w:szCs w:val="21"/>
        </w:rPr>
        <w:t xml:space="preserve"> max), can serve as a continuously managed clinical signal for cardiometabolic disease when paired with modern estimation and modeling methods. It consolidates the peer-reviewed evidence in three layers: (i) the prognostic and diagnostic value of CRF across cardiometabolic conditions; (ii) the modifiability of CRF and the effect of raising it on downstream risk; and (iii) the measurement and algorithmic pathway, from cardiopulmonary exercise testing (CPET) through free-living wearable estimation to stochastic and machine-learning models that convert noisy signals into a calibrated, individualized fitness trajectory.</w:t>
      </w:r>
    </w:p>
    <w:p>
      <w:pPr>
        <w:spacing w:after="140" w:line="276"/>
        <w:jc w:val="both"/>
      </w:pPr>
      <w:r>
        <w:rPr>
          <w:rFonts w:ascii="Calibri" w:cs="Calibri" w:eastAsia="Calibri" w:hAnsi="Calibri"/>
          <w:b w:val="false"/>
          <w:bCs w:val="false"/>
          <w:i w:val="false"/>
          <w:iCs w:val="false"/>
          <w:color w:val="1A2E33"/>
          <w:sz w:val="21"/>
          <w:szCs w:val="21"/>
        </w:rPr>
        <w:t xml:space="preserve">Claims are stated at the narrowest defensible strength. Where a figure could not be verified to the primary source in preparation, it is flagged explicitly in Section 12. A full numbered reference list appears in Section 13; four primary publications supplied by the author are integrated throughout and marked with a dagger (†) at first citation.</w:t>
      </w:r>
    </w:p>
    <w:p>
      <w:pPr>
        <w:pStyle w:val="Heading1"/>
        <w:spacing w:after="140" w:before="320"/>
      </w:pPr>
      <w:r>
        <w:rPr>
          <w:rFonts w:ascii="Cambria" w:cs="Cambria" w:eastAsia="Cambria" w:hAnsi="Cambria"/>
          <w:b/>
          <w:bCs/>
          <w:color w:val="0B2027"/>
          <w:sz w:val="30"/>
          <w:szCs w:val="30"/>
        </w:rPr>
        <w:t xml:space="preserve">2.  Physiological basis of VO₂ max as a biomarker</w:t>
      </w:r>
    </w:p>
    <w:p>
      <w:pPr>
        <w:spacing w:after="140" w:line="276"/>
        <w:jc w:val="both"/>
      </w:pPr>
      <w:r>
        <w:rPr>
          <w:rFonts w:ascii="Calibri" w:cs="Calibri" w:eastAsia="Calibri" w:hAnsi="Calibri"/>
          <w:b w:val="false"/>
          <w:bCs w:val="false"/>
          <w:i w:val="false"/>
          <w:iCs w:val="false"/>
          <w:color w:val="1A2E33"/>
          <w:sz w:val="21"/>
          <w:szCs w:val="21"/>
        </w:rPr>
        <w:t xml:space="preserve">VO</w:t>
      </w:r>
      <w:r>
        <w:rPr>
          <w:rFonts w:ascii="Calibri" w:cs="Calibri" w:eastAsia="Calibri" w:hAnsi="Calibri"/>
          <w:b w:val="false"/>
          <w:bCs w:val="false"/>
          <w:i w:val="false"/>
          <w:iCs w:val="false"/>
          <w:color w:val="1A2E33"/>
          <w:sz w:val="21"/>
          <w:szCs w:val="21"/>
        </w:rPr>
        <w:t xml:space="preserve">₂</w:t>
      </w:r>
      <w:r>
        <w:rPr>
          <w:rFonts w:ascii="Calibri" w:cs="Calibri" w:eastAsia="Calibri" w:hAnsi="Calibri"/>
          <w:b w:val="false"/>
          <w:bCs w:val="false"/>
          <w:i w:val="false"/>
          <w:iCs w:val="false"/>
          <w:color w:val="1A2E33"/>
          <w:sz w:val="21"/>
          <w:szCs w:val="21"/>
        </w:rPr>
        <w:t xml:space="preserve"> max is the highest rate of oxygen uptake attainable during progressive exercise, expressed in mL·kg</w:t>
      </w:r>
      <w:r>
        <w:rPr>
          <w:rFonts w:ascii="Calibri" w:cs="Calibri" w:eastAsia="Calibri" w:hAnsi="Calibri"/>
          <w:b w:val="false"/>
          <w:bCs w:val="false"/>
          <w:i w:val="false"/>
          <w:iCs w:val="false"/>
          <w:color w:val="1A2E33"/>
          <w:sz w:val="21"/>
          <w:szCs w:val="21"/>
        </w:rPr>
        <w:t xml:space="preserve">⁻¹</w:t>
      </w:r>
      <w:r>
        <w:rPr>
          <w:rFonts w:ascii="Calibri" w:cs="Calibri" w:eastAsia="Calibri" w:hAnsi="Calibri"/>
          <w:b w:val="false"/>
          <w:bCs w:val="false"/>
          <w:i w:val="false"/>
          <w:iCs w:val="false"/>
          <w:color w:val="1A2E33"/>
          <w:sz w:val="21"/>
          <w:szCs w:val="21"/>
        </w:rPr>
        <w:t xml:space="preserve">·min</w:t>
      </w:r>
      <w:r>
        <w:rPr>
          <w:rFonts w:ascii="Calibri" w:cs="Calibri" w:eastAsia="Calibri" w:hAnsi="Calibri"/>
          <w:b w:val="false"/>
          <w:bCs w:val="false"/>
          <w:i w:val="false"/>
          <w:iCs w:val="false"/>
          <w:color w:val="1A2E33"/>
          <w:sz w:val="21"/>
          <w:szCs w:val="21"/>
        </w:rPr>
        <w:t xml:space="preserve">⁻¹</w:t>
      </w:r>
      <w:r>
        <w:rPr>
          <w:rFonts w:ascii="Calibri" w:cs="Calibri" w:eastAsia="Calibri" w:hAnsi="Calibri"/>
          <w:b w:val="false"/>
          <w:bCs w:val="false"/>
          <w:i w:val="false"/>
          <w:iCs w:val="false"/>
          <w:color w:val="1A2E33"/>
          <w:sz w:val="21"/>
          <w:szCs w:val="21"/>
        </w:rPr>
        <w:t xml:space="preserve">. First described by Hill and Lupton in 1923, it remains the reference standard for aerobic capacity and integrates the performance of the pulmonary, cardiovascular, and skeletal-muscle systems into a single number. It rests on the near-linear relationship between exercise intensity and oxygen uptake that persists until a plateau marks the limit of oxygen delivery to working muscle [1]†. Because it is an integrative measure of oxygen transport rather than a marker of a single organ, VO</w:t>
      </w:r>
      <w:r>
        <w:rPr>
          <w:rFonts w:ascii="Calibri" w:cs="Calibri" w:eastAsia="Calibri" w:hAnsi="Calibri"/>
          <w:b w:val="false"/>
          <w:bCs w:val="false"/>
          <w:i w:val="false"/>
          <w:iCs w:val="false"/>
          <w:color w:val="1A2E33"/>
          <w:sz w:val="21"/>
          <w:szCs w:val="21"/>
        </w:rPr>
        <w:t xml:space="preserve">₂</w:t>
      </w:r>
      <w:r>
        <w:rPr>
          <w:rFonts w:ascii="Calibri" w:cs="Calibri" w:eastAsia="Calibri" w:hAnsi="Calibri"/>
          <w:b w:val="false"/>
          <w:bCs w:val="false"/>
          <w:i w:val="false"/>
          <w:iCs w:val="false"/>
          <w:color w:val="1A2E33"/>
          <w:sz w:val="21"/>
          <w:szCs w:val="21"/>
        </w:rPr>
        <w:t xml:space="preserve"> max is sensitive to subclinical dysfunction across several systems at once, which is the property that makes it prognostically powerful.</w:t>
      </w:r>
    </w:p>
    <w:p>
      <w:pPr>
        <w:spacing w:after="140" w:line="276"/>
        <w:jc w:val="both"/>
      </w:pPr>
      <w:r>
        <w:rPr>
          <w:rFonts w:ascii="Calibri" w:cs="Calibri" w:eastAsia="Calibri" w:hAnsi="Calibri"/>
          <w:b w:val="false"/>
          <w:bCs w:val="false"/>
          <w:i w:val="false"/>
          <w:iCs w:val="false"/>
          <w:color w:val="1A2E33"/>
          <w:sz w:val="21"/>
          <w:szCs w:val="21"/>
        </w:rPr>
        <w:t xml:space="preserve">The same integrative quality is a caveat in disease. In populations with cardiometabolic pathology, the heart-rate–to–oxygen-uptake relationship that underlies most non-laboratory estimation can be distorted by chronotropic incompetence, beta-blockade, and altered stroke-volume response. This is documented directly in obstructive sleep apnea, where an abnormal cardiovascular exercise response, including blunted heart-rate response and exaggerated blood-pressure response, is observed even when respiratory limitation is not [2]†. Estimation methods must account for these distortions rather than assume a healthy heart-rate reserve.</w:t>
      </w:r>
    </w:p>
    <w:p>
      <w:pPr>
        <w:pStyle w:val="Heading1"/>
        <w:spacing w:after="140" w:before="320"/>
      </w:pPr>
      <w:r>
        <w:rPr>
          <w:rFonts w:ascii="Cambria" w:cs="Cambria" w:eastAsia="Cambria" w:hAnsi="Cambria"/>
          <w:b/>
          <w:bCs/>
          <w:color w:val="0B2027"/>
          <w:sz w:val="30"/>
          <w:szCs w:val="30"/>
        </w:rPr>
        <w:t xml:space="preserve">3.  Why an integrative measure outperforms a fixed biomarker panel</w:t>
      </w:r>
    </w:p>
    <w:p>
      <w:pPr>
        <w:spacing w:after="140" w:line="276"/>
        <w:jc w:val="both"/>
      </w:pPr>
      <w:r>
        <w:rPr>
          <w:rFonts w:ascii="Calibri" w:cs="Calibri" w:eastAsia="Calibri" w:hAnsi="Calibri"/>
          <w:b w:val="false"/>
          <w:bCs w:val="false"/>
          <w:i w:val="false"/>
          <w:iCs w:val="false"/>
          <w:color w:val="1A2E33"/>
          <w:sz w:val="21"/>
          <w:szCs w:val="21"/>
        </w:rPr>
        <w:t xml:space="preserve">A reasonable challenge to the thesis is whether a fixed panel of established measurements, for example blood pressure, HbA1c, creatinine clearance, B-type natriuretic peptide, and BMI or percentage body fat, would manage cardiometabolic disease as well as or better than a single fitness value. The distinction that answers the challenge is that such a panel measures the state of individual organs, whereas VO₂ max measures the integrated performance of the whole system. By the Fick principle, VO₂ max is the product of cardiac output, arterial oxygen content, and peripheral oxygen extraction, so a high value is attainable only when the heart, lungs, blood, vasculature, and skeletal-muscle mitochondria are all functioning and coordinated. Each panel marker reports on one node in that chain; VO₂ max reports on the chain’s output, including the interaction effects a fixed panel cannot capture because it treats each marker as independent. A patient can present a wholly reassuring panel while the integrated system is already failing, and, conversely, a single deranged marker can be fully compensated by an otherwise fit physiology.</w:t>
      </w:r>
    </w:p>
    <w:p>
      <w:pPr>
        <w:spacing w:after="140" w:line="276"/>
        <w:jc w:val="both"/>
      </w:pPr>
      <w:r>
        <w:rPr>
          <w:rFonts w:ascii="Calibri" w:cs="Calibri" w:eastAsia="Calibri" w:hAnsi="Calibri"/>
          <w:b w:val="false"/>
          <w:bCs w:val="false"/>
          <w:i w:val="false"/>
          <w:iCs w:val="false"/>
          <w:color w:val="1A2E33"/>
          <w:sz w:val="21"/>
          <w:szCs w:val="21"/>
        </w:rPr>
        <w:t xml:space="preserve">The prognostic literature bears this out in direct comparison. In the 122,007-patient Cleveland Clinic cohort, the all-cause mortality hazard attached to the least-fit stratum exceeded the within-cohort hazard of coronary artery disease, cigarette smoking, and diabetes considered individually [3], and the graded, no-ceiling per-MET gradient is reproduced across independent cohorts and meta-analysis [4,5]. The American Heart Association’s position, that cardiorespiratory fitness is at least as strong a predictor of cardiovascular and all-cause mortality as the established risk factors, is in substance a statement that this one integrative measure equals or beats the conventional panel on outcome prediction [7]. The panel members are risk factors; VO₂ max is closer to the outcome those factors are proxies for.</w:t>
      </w:r>
    </w:p>
    <w:p>
      <w:pPr>
        <w:spacing w:after="140" w:line="276"/>
        <w:jc w:val="both"/>
      </w:pPr>
      <w:r>
        <w:rPr>
          <w:rFonts w:ascii="Calibri" w:cs="Calibri" w:eastAsia="Calibri" w:hAnsi="Calibri"/>
          <w:b w:val="false"/>
          <w:bCs w:val="false"/>
          <w:i w:val="false"/>
          <w:iCs w:val="false"/>
          <w:color w:val="1A2E33"/>
          <w:sz w:val="21"/>
          <w:szCs w:val="21"/>
        </w:rPr>
        <w:t xml:space="preserve">For longitudinal management the integrative measure has a further advantage: it collapses a multi-dimensional treatment response into one interpretable readout. A patient whose HbA1c and blood pressure improve while aerobic capacity falls is not becoming healthier, yet a panel tracked marker-by-marker can obscure that net trajectory. Because fitness moves with exercise, weight loss, glycemic control, and antihypertensive treatment, and because interval-training programs raise VO₂ max while simultaneously improving fasting glucose, blood pressure, waist circumference, and body-fat percentage (Section 6), fitness serves as a summary readout of whether the entire management plan is working, rather than as a fifth dial to be reconciled against four others.</w:t>
      </w:r>
    </w:p>
    <w:p>
      <w:pPr>
        <w:spacing w:after="140" w:line="276"/>
        <w:jc w:val="both"/>
      </w:pPr>
      <w:r>
        <w:rPr>
          <w:rFonts w:ascii="Calibri" w:cs="Calibri" w:eastAsia="Calibri" w:hAnsi="Calibri"/>
          <w:b w:val="false"/>
          <w:bCs w:val="false"/>
          <w:i w:val="false"/>
          <w:iCs w:val="false"/>
          <w:color w:val="1A2E33"/>
          <w:sz w:val="21"/>
          <w:szCs w:val="21"/>
        </w:rPr>
        <w:t xml:space="preserve">The honest form of the claim is not that VO₂ max replaces the panel. It does not, because it lacks diagnostic specificity: a falling value signals that physiologic reserve is eroding but not which organ is responsible, whereas HbA1c defines diabetes, BNP localizes to the heart, and creatinine clearance to the kidney. VO₂ max is also effort-dependent and, in diseased or medicated populations, confounded by the chronotropic-incompetence and stroke-volume distortions documented in Section 2 [2]†. The two therefore answer different questions. A fixed biomarker panel is the better diagnostic and localizing toolkit; VO₂ max is the better single signal for risk stratification and for managing the trajectory of cardiometabolic disease, because it is integrative, prognostically dominant, and responsive to intervention, and because, uniquely among these measures, it can be estimated passively and continuously from hardware patients already wear, where no blood-draw panel can.</w:t>
      </w:r>
    </w:p>
    <w:p>
      <w:pPr>
        <w:pStyle w:val="Heading1"/>
        <w:spacing w:after="140" w:before="320"/>
      </w:pPr>
      <w:r>
        <w:rPr>
          <w:rFonts w:ascii="Cambria" w:cs="Cambria" w:eastAsia="Cambria" w:hAnsi="Cambria"/>
          <w:b/>
          <w:bCs/>
          <w:color w:val="0B2027"/>
          <w:sz w:val="30"/>
          <w:szCs w:val="30"/>
        </w:rPr>
        <w:t xml:space="preserve">4.  Prognostic value: mortality and cardiovascular outcomes</w:t>
      </w:r>
    </w:p>
    <w:p>
      <w:pPr>
        <w:spacing w:after="140" w:line="276"/>
        <w:jc w:val="both"/>
      </w:pPr>
      <w:r>
        <w:rPr>
          <w:rFonts w:ascii="Calibri" w:cs="Calibri" w:eastAsia="Calibri" w:hAnsi="Calibri"/>
          <w:b w:val="false"/>
          <w:bCs w:val="false"/>
          <w:i w:val="false"/>
          <w:iCs w:val="false"/>
          <w:color w:val="1A2E33"/>
          <w:sz w:val="21"/>
          <w:szCs w:val="21"/>
        </w:rPr>
        <w:t xml:space="preserve">CRF is among the strongest predictors of all-cause and cardiovascular mortality yet described. In the largest single-center cohort, 122,007 adults undergoing treadmill testing at the Cleveland Clinic showed an inverse, graded relationship between fitness and mortality with no observed upper limit of benefit; the adjusted hazard ratio for all-cause mortality comparing the least-fit to elite performers was approximately 5.0, exceeding the within-cohort risk attached to coronary artery disease (1.29), smoking (1.41), and diabetes (1.40) [3].</w:t>
      </w:r>
    </w:p>
    <w:p>
      <w:pPr>
        <w:spacing w:after="140" w:line="276"/>
        <w:jc w:val="both"/>
      </w:pPr>
      <w:r>
        <w:rPr>
          <w:rFonts w:ascii="Calibri" w:cs="Calibri" w:eastAsia="Calibri" w:hAnsi="Calibri"/>
          <w:b w:val="false"/>
          <w:bCs w:val="false"/>
          <w:i w:val="false"/>
          <w:iCs w:val="false"/>
          <w:color w:val="1A2E33"/>
          <w:sz w:val="21"/>
          <w:szCs w:val="21"/>
        </w:rPr>
        <w:t xml:space="preserve">The dose-response is consistent across cohorts. Among 750,302 US veterans, each 1-MET increment in exercise capacity carried an adjusted hazard ratio of 0.86 for all-cause mortality, roughly a 14% reduction per MET, stable across age, sex, and race [4]. A 33-study meta-analysis of 102,980 participants quantified the same gradient as a 13% reduction in all-cause mortality and a 15% reduction in coronary heart disease and cardiovascular events per 1-MET higher fitness [5]. The seminal Aerobics Center Longitudinal Study first established the relationship, with the steepest mortality decline occurring between the least-fit quintile and the next [6]. On the strength of this literature, the American Heart Association's 2016 scientific statement concluded that CRF is at least as powerful a predictor of cardiovascular and all-cause mortality as the established risk factors, and recommended that it be assessed as a clinical vital sign; the position was reaffirmed in a 2024 update [7,8].</w:t>
      </w:r>
    </w:p>
    <w:p>
      <w:pPr>
        <w:spacing w:after="140" w:line="276"/>
        <w:jc w:val="both"/>
      </w:pPr>
      <w:r>
        <w:rPr>
          <w:rFonts w:ascii="Calibri" w:cs="Calibri" w:eastAsia="Calibri" w:hAnsi="Calibri"/>
          <w:b w:val="false"/>
          <w:bCs w:val="false"/>
          <w:i w:val="false"/>
          <w:iCs w:val="false"/>
          <w:color w:val="1A2E33"/>
          <w:sz w:val="21"/>
          <w:szCs w:val="21"/>
        </w:rPr>
        <w:t xml:space="preserve">A 2025 clinical-cardiology review synthesizes the diagnostic and prognostic case, identifying VO</w:t>
      </w:r>
      <w:r>
        <w:rPr>
          <w:rFonts w:ascii="Calibri" w:cs="Calibri" w:eastAsia="Calibri" w:hAnsi="Calibri"/>
          <w:b w:val="false"/>
          <w:bCs w:val="false"/>
          <w:i w:val="false"/>
          <w:iCs w:val="false"/>
          <w:color w:val="1A2E33"/>
          <w:sz w:val="21"/>
          <w:szCs w:val="21"/>
        </w:rPr>
        <w:t xml:space="preserve">₂</w:t>
      </w:r>
      <w:r>
        <w:rPr>
          <w:rFonts w:ascii="Calibri" w:cs="Calibri" w:eastAsia="Calibri" w:hAnsi="Calibri"/>
          <w:b w:val="false"/>
          <w:bCs w:val="false"/>
          <w:i w:val="false"/>
          <w:iCs w:val="false"/>
          <w:color w:val="1A2E33"/>
          <w:sz w:val="21"/>
          <w:szCs w:val="21"/>
        </w:rPr>
        <w:t xml:space="preserve"> max as a powerful independent predictor in heart failure, coronary artery disease, hypertrophic cardiomyopathy, and cardiac amyloidosis, while noting that it remains underutilized in routine care primarily because CPET requires specialized equipment and personnel [9]†. That access gap is precisely the problem addressed by continuous estimation.</w:t>
      </w:r>
    </w:p>
    <w:p>
      <w:pPr>
        <w:pStyle w:val="Heading1"/>
        <w:spacing w:after="140" w:before="320"/>
      </w:pPr>
      <w:r>
        <w:rPr>
          <w:rFonts w:ascii="Cambria" w:cs="Cambria" w:eastAsia="Cambria" w:hAnsi="Cambria"/>
          <w:b/>
          <w:bCs/>
          <w:color w:val="0B2027"/>
          <w:sz w:val="30"/>
          <w:szCs w:val="30"/>
        </w:rPr>
        <w:t xml:space="preserve">5.  CRF across cardiometabolic conditions</w:t>
      </w:r>
    </w:p>
    <w:p>
      <w:pPr>
        <w:pStyle w:val="Heading2"/>
        <w:spacing w:after="90" w:before="220"/>
      </w:pPr>
      <w:r>
        <w:rPr>
          <w:rFonts w:ascii="Cambria" w:cs="Cambria" w:eastAsia="Cambria" w:hAnsi="Cambria"/>
          <w:b/>
          <w:bCs/>
          <w:color w:val="026773"/>
          <w:sz w:val="24"/>
          <w:szCs w:val="24"/>
        </w:rPr>
        <w:t xml:space="preserve">5.1  Type 2 diabetes, hypertension, and metabolic syndrome</w:t>
      </w:r>
    </w:p>
    <w:p>
      <w:pPr>
        <w:spacing w:after="140" w:line="276"/>
        <w:jc w:val="both"/>
      </w:pPr>
      <w:r>
        <w:rPr>
          <w:rFonts w:ascii="Calibri" w:cs="Calibri" w:eastAsia="Calibri" w:hAnsi="Calibri"/>
          <w:b w:val="false"/>
          <w:bCs w:val="false"/>
          <w:i w:val="false"/>
          <w:iCs w:val="false"/>
          <w:color w:val="1A2E33"/>
          <w:sz w:val="21"/>
          <w:szCs w:val="21"/>
        </w:rPr>
        <w:t xml:space="preserve">Higher CRF is associated with lower incidence of type 2 diabetes; a systematic review and meta-analysis reported roughly an 8% lower risk per 1-MET higher fitness, with the association attenuating after adjustment for adiposity [10]. For hypertension, a dose-response meta-analysis of more than 1.6 million person-observations found the fittest category carried a relative risk near 0.63 versus the least fit [see Section 13, ref 11]. For metabolic syndrome, CRF is inversely and independently associated with incidence, with low-fit adults showing substantially higher rates of new metabolic syndrome than high-fit peers [12]. Across all three, fitness adds predictive information beyond traditional risk factors.</w:t>
      </w:r>
    </w:p>
    <w:p>
      <w:pPr>
        <w:pStyle w:val="Heading2"/>
        <w:spacing w:after="90" w:before="220"/>
      </w:pPr>
      <w:r>
        <w:rPr>
          <w:rFonts w:ascii="Cambria" w:cs="Cambria" w:eastAsia="Cambria" w:hAnsi="Cambria"/>
          <w:b/>
          <w:bCs/>
          <w:color w:val="026773"/>
          <w:sz w:val="24"/>
          <w:szCs w:val="24"/>
        </w:rPr>
        <w:t xml:space="preserve">5.2  Obstructive sleep apnea</w:t>
      </w:r>
    </w:p>
    <w:p>
      <w:pPr>
        <w:spacing w:after="140" w:line="276"/>
        <w:jc w:val="both"/>
      </w:pPr>
      <w:r>
        <w:rPr>
          <w:rFonts w:ascii="Calibri" w:cs="Calibri" w:eastAsia="Calibri" w:hAnsi="Calibri"/>
          <w:b w:val="false"/>
          <w:bCs w:val="false"/>
          <w:i w:val="false"/>
          <w:iCs w:val="false"/>
          <w:color w:val="1A2E33"/>
          <w:sz w:val="21"/>
          <w:szCs w:val="21"/>
        </w:rPr>
        <w:t xml:space="preserve">OSA, which affects an estimated 9–38% of the population, illustrates both the promise and the current limits of CRF as a cardiometabolic marker. Severe OSA is associated with an abnormal cardiovascular response to exercise, yet the effect on measured VO</w:t>
      </w:r>
      <w:r>
        <w:rPr>
          <w:rFonts w:ascii="Calibri" w:cs="Calibri" w:eastAsia="Calibri" w:hAnsi="Calibri"/>
          <w:b w:val="false"/>
          <w:bCs w:val="false"/>
          <w:i w:val="false"/>
          <w:iCs w:val="false"/>
          <w:color w:val="1A2E33"/>
          <w:sz w:val="21"/>
          <w:szCs w:val="21"/>
        </w:rPr>
        <w:t xml:space="preserve">₂</w:t>
      </w:r>
      <w:r>
        <w:rPr>
          <w:rFonts w:ascii="Calibri" w:cs="Calibri" w:eastAsia="Calibri" w:hAnsi="Calibri"/>
          <w:b w:val="false"/>
          <w:bCs w:val="false"/>
          <w:i w:val="false"/>
          <w:iCs w:val="false"/>
          <w:color w:val="1A2E33"/>
          <w:sz w:val="21"/>
          <w:szCs w:val="21"/>
        </w:rPr>
        <w:t xml:space="preserve"> max is inconclusive across studies, with reductions most plausibly confined to patients with the greatest nocturnal hypoxic burden [2]†. The review is important for two reasons: it demonstrates that CRF can help stratify which patients within a cardiometabolic condition carry the most physiologically significant disease, and it documents the heart-rate abnormalities that any wearable estimation model must handle in diseased populations.</w:t>
      </w:r>
    </w:p>
    <w:p>
      <w:pPr>
        <w:pStyle w:val="Heading1"/>
        <w:spacing w:after="140" w:before="320"/>
      </w:pPr>
      <w:r>
        <w:rPr>
          <w:rFonts w:ascii="Cambria" w:cs="Cambria" w:eastAsia="Cambria" w:hAnsi="Cambria"/>
          <w:b/>
          <w:bCs/>
          <w:color w:val="0B2027"/>
          <w:sz w:val="30"/>
          <w:szCs w:val="30"/>
        </w:rPr>
        <w:t xml:space="preserve">6.  Modifiability and dose-response to intervention</w:t>
      </w:r>
    </w:p>
    <w:p>
      <w:pPr>
        <w:spacing w:after="140" w:line="276"/>
        <w:jc w:val="both"/>
      </w:pPr>
      <w:r>
        <w:rPr>
          <w:rFonts w:ascii="Calibri" w:cs="Calibri" w:eastAsia="Calibri" w:hAnsi="Calibri"/>
          <w:b w:val="false"/>
          <w:bCs w:val="false"/>
          <w:i w:val="false"/>
          <w:iCs w:val="false"/>
          <w:color w:val="1A2E33"/>
          <w:sz w:val="21"/>
          <w:szCs w:val="21"/>
        </w:rPr>
        <w:t xml:space="preserve">CRF is not a fixed trait; it responds to training, and improving it lowers risk. In the Aerobics Center Longitudinal Study, men who moved from unfit to fit between two examinations reduced all-cause mortality by roughly 44% and cardiovascular mortality by about 52% relative to those who remained unfit [13]. A Norwegian cohort of healthy middle-aged men found that improvements in fitness over seven years predicted lower mortality independent of baseline fitness, with roughly 50% lower cardiovascular mortality in the highest quartiles of fitness change [14]. Combined with the no-ceiling finding from the Cleveland Clinic cohort [3], this establishes CRF as a lever, not merely a marker.</w:t>
      </w:r>
    </w:p>
    <w:p>
      <w:pPr>
        <w:spacing w:after="140" w:line="276"/>
        <w:jc w:val="both"/>
      </w:pPr>
      <w:r>
        <w:rPr>
          <w:rFonts w:ascii="Calibri" w:cs="Calibri" w:eastAsia="Calibri" w:hAnsi="Calibri"/>
          <w:b w:val="false"/>
          <w:bCs w:val="false"/>
          <w:i w:val="false"/>
          <w:iCs w:val="false"/>
          <w:color w:val="1A2E33"/>
          <w:sz w:val="21"/>
          <w:szCs w:val="21"/>
        </w:rPr>
        <w:t xml:space="preserve">The magnitude of achievable change is quantified by a meta-analysis of 65 high-intensity interval training intervention studies [15]†. In overweight and obese adults, short-term programs (under 12 weeks) produced significant gains in VO</w:t>
      </w:r>
      <w:r>
        <w:rPr>
          <w:rFonts w:ascii="Calibri" w:cs="Calibri" w:eastAsia="Calibri" w:hAnsi="Calibri"/>
          <w:b w:val="false"/>
          <w:bCs w:val="false"/>
          <w:i w:val="false"/>
          <w:iCs w:val="false"/>
          <w:color w:val="1A2E33"/>
          <w:sz w:val="21"/>
          <w:szCs w:val="21"/>
        </w:rPr>
        <w:t xml:space="preserve">₂</w:t>
      </w:r>
      <w:r>
        <w:rPr>
          <w:rFonts w:ascii="Calibri" w:cs="Calibri" w:eastAsia="Calibri" w:hAnsi="Calibri"/>
          <w:b w:val="false"/>
          <w:bCs w:val="false"/>
          <w:i w:val="false"/>
          <w:iCs w:val="false"/>
          <w:color w:val="1A2E33"/>
          <w:sz w:val="21"/>
          <w:szCs w:val="21"/>
        </w:rPr>
        <w:t xml:space="preserve"> max (standardized mean difference 0.74; 95% CI 0.36 to 1.12) alongside reductions in diastolic blood pressure and fasting glucose. Programs of 12 weeks or longer produced a large VO</w:t>
      </w:r>
      <w:r>
        <w:rPr>
          <w:rFonts w:ascii="Calibri" w:cs="Calibri" w:eastAsia="Calibri" w:hAnsi="Calibri"/>
          <w:b w:val="false"/>
          <w:bCs w:val="false"/>
          <w:i w:val="false"/>
          <w:iCs w:val="false"/>
          <w:color w:val="1A2E33"/>
          <w:sz w:val="21"/>
          <w:szCs w:val="21"/>
        </w:rPr>
        <w:t xml:space="preserve">₂</w:t>
      </w:r>
      <w:r>
        <w:rPr>
          <w:rFonts w:ascii="Calibri" w:cs="Calibri" w:eastAsia="Calibri" w:hAnsi="Calibri"/>
          <w:b w:val="false"/>
          <w:bCs w:val="false"/>
          <w:i w:val="false"/>
          <w:iCs w:val="false"/>
          <w:color w:val="1A2E33"/>
          <w:sz w:val="21"/>
          <w:szCs w:val="21"/>
        </w:rPr>
        <w:t xml:space="preserve"> max effect (SMD 1.20; 95% CI 0.57 to 1.83) together with improvements in waist circumference, body-fat percentage, resting heart rate, and blood pressure. These are the effect sizes a fitness-directed intervention engine would target, and they map fitness change onto the same cardiometabolic markers used in routine management.</w:t>
      </w:r>
    </w:p>
    <w:p>
      <w:pPr>
        <w:pStyle w:val="Heading1"/>
        <w:spacing w:after="140" w:before="320"/>
      </w:pPr>
      <w:r>
        <w:rPr>
          <w:rFonts w:ascii="Cambria" w:cs="Cambria" w:eastAsia="Cambria" w:hAnsi="Cambria"/>
          <w:b/>
          <w:bCs/>
          <w:color w:val="0B2027"/>
          <w:sz w:val="30"/>
          <w:szCs w:val="30"/>
        </w:rPr>
        <w:t xml:space="preserve">7.  Measurement pathway: from CPET to free-living estimation</w:t>
      </w:r>
    </w:p>
    <w:p>
      <w:pPr>
        <w:pStyle w:val="Heading2"/>
        <w:spacing w:after="90" w:before="220"/>
      </w:pPr>
      <w:r>
        <w:rPr>
          <w:rFonts w:ascii="Cambria" w:cs="Cambria" w:eastAsia="Cambria" w:hAnsi="Cambria"/>
          <w:b/>
          <w:bCs/>
          <w:color w:val="026773"/>
          <w:sz w:val="24"/>
          <w:szCs w:val="24"/>
        </w:rPr>
        <w:t xml:space="preserve">7.1  Reference standard and normative values</w:t>
      </w:r>
    </w:p>
    <w:p>
      <w:pPr>
        <w:spacing w:after="140" w:line="276"/>
        <w:jc w:val="both"/>
      </w:pPr>
      <w:r>
        <w:rPr>
          <w:rFonts w:ascii="Calibri" w:cs="Calibri" w:eastAsia="Calibri" w:hAnsi="Calibri"/>
          <w:b w:val="false"/>
          <w:bCs w:val="false"/>
          <w:i w:val="false"/>
          <w:iCs w:val="false"/>
          <w:color w:val="1A2E33"/>
          <w:sz w:val="21"/>
          <w:szCs w:val="21"/>
        </w:rPr>
        <w:t xml:space="preserve">Direct measurement by CPET is the gold standard but is resource-intensive. Interpretation requires population-appropriate normative values, and here the FRIEND Registry provides the current US reference: from 7,783 healthy adults aged 20–79 with a validation cohort of 1,287, age, sex, and body weight were the only significant predictors of VO</w:t>
      </w:r>
      <w:r>
        <w:rPr>
          <w:rFonts w:ascii="Calibri" w:cs="Calibri" w:eastAsia="Calibri" w:hAnsi="Calibri"/>
          <w:b w:val="false"/>
          <w:bCs w:val="false"/>
          <w:i w:val="false"/>
          <w:iCs w:val="false"/>
          <w:color w:val="1A2E33"/>
          <w:sz w:val="21"/>
          <w:szCs w:val="21"/>
        </w:rPr>
        <w:t xml:space="preserve">₂</w:t>
      </w:r>
      <w:r>
        <w:rPr>
          <w:rFonts w:ascii="Calibri" w:cs="Calibri" w:eastAsia="Calibri" w:hAnsi="Calibri"/>
          <w:b w:val="false"/>
          <w:bCs w:val="false"/>
          <w:i w:val="false"/>
          <w:iCs w:val="false"/>
          <w:color w:val="1A2E33"/>
          <w:sz w:val="21"/>
          <w:szCs w:val="21"/>
        </w:rPr>
        <w:t xml:space="preserve"> max (multiple R = 0.79; R² = 0.62), yielding the reference equation VO</w:t>
      </w:r>
      <w:r>
        <w:rPr>
          <w:rFonts w:ascii="Calibri" w:cs="Calibri" w:eastAsia="Calibri" w:hAnsi="Calibri"/>
          <w:b w:val="false"/>
          <w:bCs w:val="false"/>
          <w:i w:val="false"/>
          <w:iCs w:val="false"/>
          <w:color w:val="1A2E33"/>
          <w:sz w:val="21"/>
          <w:szCs w:val="21"/>
        </w:rPr>
        <w:t xml:space="preserve">₂</w:t>
      </w:r>
      <w:r>
        <w:rPr>
          <w:rFonts w:ascii="Calibri" w:cs="Calibri" w:eastAsia="Calibri" w:hAnsi="Calibri"/>
          <w:b w:val="false"/>
          <w:bCs w:val="false"/>
          <w:i w:val="false"/>
          <w:iCs w:val="false"/>
          <w:color w:val="1A2E33"/>
          <w:sz w:val="21"/>
          <w:szCs w:val="21"/>
        </w:rPr>
        <w:t xml:space="preserve"> max = 79.9 − (0.39 × age) − (13.7 × sex [0 = male, 1 = female]) − (0.127 × weight in lb) [16]†. Portable, well-distributed normative standards of this kind are a prerequisite for interpreting any estimated value as normal or abnormal at the individual level.</w:t>
      </w:r>
    </w:p>
    <w:p>
      <w:pPr>
        <w:pStyle w:val="Heading2"/>
        <w:spacing w:after="90" w:before="220"/>
      </w:pPr>
      <w:r>
        <w:rPr>
          <w:rFonts w:ascii="Cambria" w:cs="Cambria" w:eastAsia="Cambria" w:hAnsi="Cambria"/>
          <w:b/>
          <w:bCs/>
          <w:color w:val="026773"/>
          <w:sz w:val="24"/>
          <w:szCs w:val="24"/>
        </w:rPr>
        <w:t xml:space="preserve">7.2  Non-exercise and submaximal estimation</w:t>
      </w:r>
    </w:p>
    <w:p>
      <w:pPr>
        <w:spacing w:after="140" w:line="276"/>
        <w:jc w:val="both"/>
      </w:pPr>
      <w:r>
        <w:rPr>
          <w:rFonts w:ascii="Calibri" w:cs="Calibri" w:eastAsia="Calibri" w:hAnsi="Calibri"/>
          <w:b w:val="false"/>
          <w:bCs w:val="false"/>
          <w:i w:val="false"/>
          <w:iCs w:val="false"/>
          <w:color w:val="1A2E33"/>
          <w:sz w:val="21"/>
          <w:szCs w:val="21"/>
        </w:rPr>
        <w:t xml:space="preserve">Non-exercise prediction equations estimate VO</w:t>
      </w:r>
      <w:r>
        <w:rPr>
          <w:rFonts w:ascii="Calibri" w:cs="Calibri" w:eastAsia="Calibri" w:hAnsi="Calibri"/>
          <w:b w:val="false"/>
          <w:bCs w:val="false"/>
          <w:i w:val="false"/>
          <w:iCs w:val="false"/>
          <w:color w:val="1A2E33"/>
          <w:sz w:val="21"/>
          <w:szCs w:val="21"/>
        </w:rPr>
        <w:t xml:space="preserve">₂</w:t>
      </w:r>
      <w:r>
        <w:rPr>
          <w:rFonts w:ascii="Calibri" w:cs="Calibri" w:eastAsia="Calibri" w:hAnsi="Calibri"/>
          <w:b w:val="false"/>
          <w:bCs w:val="false"/>
          <w:i w:val="false"/>
          <w:iCs w:val="false"/>
          <w:color w:val="1A2E33"/>
          <w:sz w:val="21"/>
          <w:szCs w:val="21"/>
        </w:rPr>
        <w:t xml:space="preserve"> max from age, sex, body composition, and a self-reported activity term; the canonical Jackson model achieves a multiple R near 0.81 with a standard error of estimate of roughly 5 mL·kg</w:t>
      </w:r>
      <w:r>
        <w:rPr>
          <w:rFonts w:ascii="Calibri" w:cs="Calibri" w:eastAsia="Calibri" w:hAnsi="Calibri"/>
          <w:b w:val="false"/>
          <w:bCs w:val="false"/>
          <w:i w:val="false"/>
          <w:iCs w:val="false"/>
          <w:color w:val="1A2E33"/>
          <w:sz w:val="21"/>
          <w:szCs w:val="21"/>
        </w:rPr>
        <w:t xml:space="preserve">⁻¹</w:t>
      </w:r>
      <w:r>
        <w:rPr>
          <w:rFonts w:ascii="Calibri" w:cs="Calibri" w:eastAsia="Calibri" w:hAnsi="Calibri"/>
          <w:b w:val="false"/>
          <w:bCs w:val="false"/>
          <w:i w:val="false"/>
          <w:iCs w:val="false"/>
          <w:color w:val="1A2E33"/>
          <w:sz w:val="21"/>
          <w:szCs w:val="21"/>
        </w:rPr>
        <w:t xml:space="preserve">·min</w:t>
      </w:r>
      <w:r>
        <w:rPr>
          <w:rFonts w:ascii="Calibri" w:cs="Calibri" w:eastAsia="Calibri" w:hAnsi="Calibri"/>
          <w:b w:val="false"/>
          <w:bCs w:val="false"/>
          <w:i w:val="false"/>
          <w:iCs w:val="false"/>
          <w:color w:val="1A2E33"/>
          <w:sz w:val="21"/>
          <w:szCs w:val="21"/>
        </w:rPr>
        <w:t xml:space="preserve">⁻¹</w:t>
      </w:r>
      <w:r>
        <w:rPr>
          <w:rFonts w:ascii="Calibri" w:cs="Calibri" w:eastAsia="Calibri" w:hAnsi="Calibri"/>
          <w:b w:val="false"/>
          <w:bCs w:val="false"/>
          <w:i w:val="false"/>
          <w:iCs w:val="false"/>
          <w:color w:val="1A2E33"/>
          <w:sz w:val="21"/>
          <w:szCs w:val="21"/>
        </w:rPr>
        <w:t xml:space="preserve"> [17]. Submaximal tests exploit the near-linear heart-rate–oxygen-uptake relationship and the approximation that percentage of heart-rate reserve equals percentage of oxygen-uptake reserve, extrapolating to a predicted maximum. Both approaches are adequate for stratification but limited for tracking small individual changes, and both degrade where the heart-rate relationship is distorted by disease or medication (Section 2).</w:t>
      </w:r>
    </w:p>
    <w:p>
      <w:pPr>
        <w:pStyle w:val="Heading2"/>
        <w:spacing w:after="90" w:before="220"/>
      </w:pPr>
      <w:r>
        <w:rPr>
          <w:rFonts w:ascii="Cambria" w:cs="Cambria" w:eastAsia="Cambria" w:hAnsi="Cambria"/>
          <w:b/>
          <w:bCs/>
          <w:color w:val="026773"/>
          <w:sz w:val="24"/>
          <w:szCs w:val="24"/>
        </w:rPr>
        <w:t xml:space="preserve">7.3  Wearable estimation and its honest limits</w:t>
      </w:r>
    </w:p>
    <w:p>
      <w:pPr>
        <w:spacing w:after="140" w:line="276"/>
        <w:jc w:val="both"/>
      </w:pPr>
      <w:r>
        <w:rPr>
          <w:rFonts w:ascii="Calibri" w:cs="Calibri" w:eastAsia="Calibri" w:hAnsi="Calibri"/>
          <w:b w:val="false"/>
          <w:bCs w:val="false"/>
          <w:i w:val="false"/>
          <w:iCs w:val="false"/>
          <w:color w:val="1A2E33"/>
          <w:sz w:val="21"/>
          <w:szCs w:val="21"/>
        </w:rPr>
        <w:t xml:space="preserve">Consumer wearables operationalize the same physiology: at a fixed workload, a fitter person shows a lower heart rate. Devices infer VO</w:t>
      </w:r>
      <w:r>
        <w:rPr>
          <w:rFonts w:ascii="Calibri" w:cs="Calibri" w:eastAsia="Calibri" w:hAnsi="Calibri"/>
          <w:b w:val="false"/>
          <w:bCs w:val="false"/>
          <w:i w:val="false"/>
          <w:iCs w:val="false"/>
          <w:color w:val="1A2E33"/>
          <w:sz w:val="21"/>
          <w:szCs w:val="21"/>
        </w:rPr>
        <w:t xml:space="preserve">₂</w:t>
      </w:r>
      <w:r>
        <w:rPr>
          <w:rFonts w:ascii="Calibri" w:cs="Calibri" w:eastAsia="Calibri" w:hAnsi="Calibri"/>
          <w:b w:val="false"/>
          <w:bCs w:val="false"/>
          <w:i w:val="false"/>
          <w:iCs w:val="false"/>
          <w:color w:val="1A2E33"/>
          <w:sz w:val="21"/>
          <w:szCs w:val="21"/>
        </w:rPr>
        <w:t xml:space="preserve"> max from the heart-rate–to–pace relationship during free activity, anchored to demographics and an estimated maximum heart rate. Data-quality filtering of reliable segments can reach approximately 5% error against the laboratory in runners. Two limits must be stated plainly: no consumer device measures oxygen consumption, so every value is a model estimate; and while pooled bias across devices is near zero, single-reading limits of agreement are wide (on the order of ±9–10 mL·kg</w:t>
      </w:r>
      <w:r>
        <w:rPr>
          <w:rFonts w:ascii="Calibri" w:cs="Calibri" w:eastAsia="Calibri" w:hAnsi="Calibri"/>
          <w:b w:val="false"/>
          <w:bCs w:val="false"/>
          <w:i w:val="false"/>
          <w:iCs w:val="false"/>
          <w:color w:val="1A2E33"/>
          <w:sz w:val="21"/>
          <w:szCs w:val="21"/>
        </w:rPr>
        <w:t xml:space="preserve">⁻¹</w:t>
      </w:r>
      <w:r>
        <w:rPr>
          <w:rFonts w:ascii="Calibri" w:cs="Calibri" w:eastAsia="Calibri" w:hAnsi="Calibri"/>
          <w:b w:val="false"/>
          <w:bCs w:val="false"/>
          <w:i w:val="false"/>
          <w:iCs w:val="false"/>
          <w:color w:val="1A2E33"/>
          <w:sz w:val="21"/>
          <w:szCs w:val="21"/>
        </w:rPr>
        <w:t xml:space="preserve">·min</w:t>
      </w:r>
      <w:r>
        <w:rPr>
          <w:rFonts w:ascii="Calibri" w:cs="Calibri" w:eastAsia="Calibri" w:hAnsi="Calibri"/>
          <w:b w:val="false"/>
          <w:bCs w:val="false"/>
          <w:i w:val="false"/>
          <w:iCs w:val="false"/>
          <w:color w:val="1A2E33"/>
          <w:sz w:val="21"/>
          <w:szCs w:val="21"/>
        </w:rPr>
        <w:t xml:space="preserve">⁻¹</w:t>
      </w:r>
      <w:r>
        <w:rPr>
          <w:rFonts w:ascii="Calibri" w:cs="Calibri" w:eastAsia="Calibri" w:hAnsi="Calibri"/>
          <w:b w:val="false"/>
          <w:bCs w:val="false"/>
          <w:i w:val="false"/>
          <w:iCs w:val="false"/>
          <w:color w:val="1A2E33"/>
          <w:sz w:val="21"/>
          <w:szCs w:val="21"/>
        </w:rPr>
        <w:t xml:space="preserve">), with systematic drift toward the mean at fitness extremes. The 2025 clinical review reaches the same conclusion from the clinical side while pointing to the solution: wearable and machine-learning methods can facilitate accurate VO</w:t>
      </w:r>
      <w:r>
        <w:rPr>
          <w:rFonts w:ascii="Calibri" w:cs="Calibri" w:eastAsia="Calibri" w:hAnsi="Calibri"/>
          <w:b w:val="false"/>
          <w:bCs w:val="false"/>
          <w:i w:val="false"/>
          <w:iCs w:val="false"/>
          <w:color w:val="1A2E33"/>
          <w:sz w:val="21"/>
          <w:szCs w:val="21"/>
        </w:rPr>
        <w:t xml:space="preserve">₂</w:t>
      </w:r>
      <w:r>
        <w:rPr>
          <w:rFonts w:ascii="Calibri" w:cs="Calibri" w:eastAsia="Calibri" w:hAnsi="Calibri"/>
          <w:b w:val="false"/>
          <w:bCs w:val="false"/>
          <w:i w:val="false"/>
          <w:iCs w:val="false"/>
          <w:color w:val="1A2E33"/>
          <w:sz w:val="21"/>
          <w:szCs w:val="21"/>
        </w:rPr>
        <w:t xml:space="preserve"> estimation in routine practice without specialized equipment, and emerging modalities such as wearable seismocardiography have shown VO</w:t>
      </w:r>
      <w:r>
        <w:rPr>
          <w:rFonts w:ascii="Calibri" w:cs="Calibri" w:eastAsia="Calibri" w:hAnsi="Calibri"/>
          <w:b w:val="false"/>
          <w:bCs w:val="false"/>
          <w:i w:val="false"/>
          <w:iCs w:val="false"/>
          <w:color w:val="1A2E33"/>
          <w:sz w:val="21"/>
          <w:szCs w:val="21"/>
        </w:rPr>
        <w:t xml:space="preserve">₂</w:t>
      </w:r>
      <w:r>
        <w:rPr>
          <w:rFonts w:ascii="Calibri" w:cs="Calibri" w:eastAsia="Calibri" w:hAnsi="Calibri"/>
          <w:b w:val="false"/>
          <w:bCs w:val="false"/>
          <w:i w:val="false"/>
          <w:iCs w:val="false"/>
          <w:color w:val="1A2E33"/>
          <w:sz w:val="21"/>
          <w:szCs w:val="21"/>
        </w:rPr>
        <w:t xml:space="preserve"> max estimates statistically indistinguishable from ergometer measurement (45.0 ± 9.3 vs 44.3 ± 10.1 mL·min</w:t>
      </w:r>
      <w:r>
        <w:rPr>
          <w:rFonts w:ascii="Calibri" w:cs="Calibri" w:eastAsia="Calibri" w:hAnsi="Calibri"/>
          <w:b w:val="false"/>
          <w:bCs w:val="false"/>
          <w:i w:val="false"/>
          <w:iCs w:val="false"/>
          <w:color w:val="1A2E33"/>
          <w:sz w:val="21"/>
          <w:szCs w:val="21"/>
        </w:rPr>
        <w:t xml:space="preserve">⁻¹</w:t>
      </w:r>
      <w:r>
        <w:rPr>
          <w:rFonts w:ascii="Calibri" w:cs="Calibri" w:eastAsia="Calibri" w:hAnsi="Calibri"/>
          <w:b w:val="false"/>
          <w:bCs w:val="false"/>
          <w:i w:val="false"/>
          <w:iCs w:val="false"/>
          <w:color w:val="1A2E33"/>
          <w:sz w:val="21"/>
          <w:szCs w:val="21"/>
        </w:rPr>
        <w:t xml:space="preserve">·kg</w:t>
      </w:r>
      <w:r>
        <w:rPr>
          <w:rFonts w:ascii="Calibri" w:cs="Calibri" w:eastAsia="Calibri" w:hAnsi="Calibri"/>
          <w:b w:val="false"/>
          <w:bCs w:val="false"/>
          <w:i w:val="false"/>
          <w:iCs w:val="false"/>
          <w:color w:val="1A2E33"/>
          <w:sz w:val="21"/>
          <w:szCs w:val="21"/>
        </w:rPr>
        <w:t xml:space="preserve">⁻¹</w:t>
      </w:r>
      <w:r>
        <w:rPr>
          <w:rFonts w:ascii="Calibri" w:cs="Calibri" w:eastAsia="Calibri" w:hAnsi="Calibri"/>
          <w:b w:val="false"/>
          <w:bCs w:val="false"/>
          <w:i w:val="false"/>
          <w:iCs w:val="false"/>
          <w:color w:val="1A2E33"/>
          <w:sz w:val="21"/>
          <w:szCs w:val="21"/>
        </w:rPr>
        <w:t xml:space="preserve">) [9]†. The clinical value therefore lies not in any single reading but in fusing many noisy readings over time.</w:t>
      </w:r>
    </w:p>
    <w:p>
      <w:pPr>
        <w:pStyle w:val="Heading1"/>
        <w:spacing w:after="140" w:before="320"/>
      </w:pPr>
      <w:r>
        <w:rPr>
          <w:rFonts w:ascii="Cambria" w:cs="Cambria" w:eastAsia="Cambria" w:hAnsi="Cambria"/>
          <w:b/>
          <w:bCs/>
          <w:color w:val="0B2027"/>
          <w:sz w:val="30"/>
          <w:szCs w:val="30"/>
        </w:rPr>
        <w:t xml:space="preserve">8.  Stochastic and state-space methods</w:t>
      </w:r>
    </w:p>
    <w:p>
      <w:pPr>
        <w:spacing w:after="140" w:line="276"/>
        <w:jc w:val="both"/>
      </w:pPr>
      <w:r>
        <w:rPr>
          <w:rFonts w:ascii="Calibri" w:cs="Calibri" w:eastAsia="Calibri" w:hAnsi="Calibri"/>
          <w:b w:val="false"/>
          <w:bCs w:val="false"/>
          <w:i w:val="false"/>
          <w:iCs w:val="false"/>
          <w:color w:val="1A2E33"/>
          <w:sz w:val="21"/>
          <w:szCs w:val="21"/>
        </w:rPr>
        <w:t xml:space="preserve">Latent fitness is not observed directly; it is a hidden state that must be inferred from noisy, irregular measurements. State-space methods are the natural formalism. A Kalman filter, with extended or unscented variants for the nonlinear exponential kinetics of oxygen uptake, tracks the latent VO</w:t>
      </w:r>
      <w:r>
        <w:rPr>
          <w:rFonts w:ascii="Calibri" w:cs="Calibri" w:eastAsia="Calibri" w:hAnsi="Calibri"/>
          <w:b w:val="false"/>
          <w:bCs w:val="false"/>
          <w:i w:val="false"/>
          <w:iCs w:val="false"/>
          <w:color w:val="1A2E33"/>
          <w:sz w:val="21"/>
          <w:szCs w:val="21"/>
        </w:rPr>
        <w:t xml:space="preserve">₂</w:t>
      </w:r>
      <w:r>
        <w:rPr>
          <w:rFonts w:ascii="Calibri" w:cs="Calibri" w:eastAsia="Calibri" w:hAnsi="Calibri"/>
          <w:b w:val="false"/>
          <w:bCs w:val="false"/>
          <w:i w:val="false"/>
          <w:iCs w:val="false"/>
          <w:color w:val="1A2E33"/>
          <w:sz w:val="21"/>
          <w:szCs w:val="21"/>
        </w:rPr>
        <w:t xml:space="preserve"> state and updates it continuously as measurements arrive, returning a denoised estimate with calibrated uncertainty. Hidden Markov and hidden semi-Markov models segment free-living data into physiological states, rest, activity, and recovery, so that estimation runs only on trustworthy epochs. Bayesian particle filters generalize to non-Gaussian, nonlinear dynamics and yield a full posterior over the latent trajectory. Gaussian-process models reconstruct a smooth trajectory from irregular, gap-laden data with principled uncertainty at any timepoint, and have a direct precedent in robust regression for noisy heart-rate data [18].</w:t>
      </w:r>
    </w:p>
    <w:p>
      <w:pPr>
        <w:spacing w:after="140" w:line="276"/>
        <w:jc w:val="both"/>
      </w:pPr>
      <w:r>
        <w:rPr>
          <w:rFonts w:ascii="Calibri" w:cs="Calibri" w:eastAsia="Calibri" w:hAnsi="Calibri"/>
          <w:b w:val="false"/>
          <w:bCs w:val="false"/>
          <w:i w:val="false"/>
          <w:iCs w:val="false"/>
          <w:color w:val="1A2E33"/>
          <w:sz w:val="21"/>
          <w:szCs w:val="21"/>
        </w:rPr>
        <w:t xml:space="preserve">The technique set is mature; its application to longitudinal fitness-trajectory tracking is comparatively under-published, which is the source of the defensible technical position rather than a research risk to be solved from scratch.</w:t>
      </w:r>
    </w:p>
    <w:p>
      <w:pPr>
        <w:pStyle w:val="Heading1"/>
        <w:spacing w:after="140" w:before="320"/>
      </w:pPr>
      <w:r>
        <w:rPr>
          <w:rFonts w:ascii="Cambria" w:cs="Cambria" w:eastAsia="Cambria" w:hAnsi="Cambria"/>
          <w:b/>
          <w:bCs/>
          <w:color w:val="0B2027"/>
          <w:sz w:val="30"/>
          <w:szCs w:val="30"/>
        </w:rPr>
        <w:t xml:space="preserve">9.  Machine-learning and AI architectures</w:t>
      </w:r>
    </w:p>
    <w:p>
      <w:pPr>
        <w:spacing w:after="140" w:line="276"/>
        <w:jc w:val="both"/>
      </w:pPr>
      <w:r>
        <w:rPr>
          <w:rFonts w:ascii="Calibri" w:cs="Calibri" w:eastAsia="Calibri" w:hAnsi="Calibri"/>
          <w:b w:val="false"/>
          <w:bCs w:val="false"/>
          <w:i w:val="false"/>
          <w:iCs w:val="false"/>
          <w:color w:val="1A2E33"/>
          <w:sz w:val="21"/>
          <w:szCs w:val="21"/>
        </w:rPr>
        <w:t xml:space="preserve">Three families of learning networks convert the fitness trajectory into risk and action. Sequence encoders, recurrent (LSTM), temporal-convolutional, and transformer models, learn nonlinear mappings from raw heart-rate and motion streams to oxygen uptake without hand-specifying the kinetics; wearable foundation models trained on very large biosignal cohorts yield transferable embeddings that encode fitness and health status [19]. Survival networks, including DeepSurv and random survival forests, map the trajectory or its embedding to time-to-event risk for myocardial infarction, stroke, and type 2 diabetes while handling censoring and competing risks [20,21]. Reinforcement-learning and just-in-time adaptive-intervention frameworks personalize exercise and intervention dosing to an individual's learned dose-response, with physical-activity nudging already validated in micro-randomized trials [22].</w:t>
      </w:r>
    </w:p>
    <w:p>
      <w:pPr>
        <w:spacing w:after="140" w:line="276"/>
        <w:jc w:val="both"/>
      </w:pPr>
      <w:r>
        <w:rPr>
          <w:rFonts w:ascii="Calibri" w:cs="Calibri" w:eastAsia="Calibri" w:hAnsi="Calibri"/>
          <w:b w:val="false"/>
          <w:bCs w:val="false"/>
          <w:i w:val="false"/>
          <w:iCs w:val="false"/>
          <w:color w:val="1A2E33"/>
          <w:sz w:val="21"/>
          <w:szCs w:val="21"/>
        </w:rPr>
        <w:t xml:space="preserve">This direction is independently endorsed by the clinical literature. The 2025 review concludes that machine-learning models predict peak VO</w:t>
      </w:r>
      <w:r>
        <w:rPr>
          <w:rFonts w:ascii="Calibri" w:cs="Calibri" w:eastAsia="Calibri" w:hAnsi="Calibri"/>
          <w:b w:val="false"/>
          <w:bCs w:val="false"/>
          <w:i w:val="false"/>
          <w:iCs w:val="false"/>
          <w:color w:val="1A2E33"/>
          <w:sz w:val="21"/>
          <w:szCs w:val="21"/>
        </w:rPr>
        <w:t xml:space="preserve">₂</w:t>
      </w:r>
      <w:r>
        <w:rPr>
          <w:rFonts w:ascii="Calibri" w:cs="Calibri" w:eastAsia="Calibri" w:hAnsi="Calibri"/>
          <w:b w:val="false"/>
          <w:bCs w:val="false"/>
          <w:i w:val="false"/>
          <w:iCs w:val="false"/>
          <w:color w:val="1A2E33"/>
          <w:sz w:val="21"/>
          <w:szCs w:val="21"/>
        </w:rPr>
        <w:t xml:space="preserve"> more accurately than conventional multiple linear regression and that AI-driven algorithms can improve the precision and diagnostic value of physiological measurements from wearable biosensors, while calling for large-scale studies to establish accuracy, safety, and regulatory fit [9]†. The thesis is thus aligned with, not ahead of, the stated future direction of the field.</w:t>
      </w:r>
    </w:p>
    <w:p>
      <w:pPr>
        <w:pStyle w:val="Heading1"/>
        <w:spacing w:after="140" w:before="320"/>
      </w:pPr>
      <w:r>
        <w:rPr>
          <w:rFonts w:ascii="Cambria" w:cs="Cambria" w:eastAsia="Cambria" w:hAnsi="Cambria"/>
          <w:b/>
          <w:bCs/>
          <w:color w:val="0B2027"/>
          <w:sz w:val="30"/>
          <w:szCs w:val="30"/>
        </w:rPr>
        <w:t xml:space="preserve">10.  Evidence that lab-free longitudinal CRF works</w:t>
      </w:r>
    </w:p>
    <w:p>
      <w:pPr>
        <w:spacing w:after="140" w:line="276"/>
        <w:jc w:val="both"/>
      </w:pPr>
      <w:r>
        <w:rPr>
          <w:rFonts w:ascii="Calibri" w:cs="Calibri" w:eastAsia="Calibri" w:hAnsi="Calibri"/>
          <w:b w:val="false"/>
          <w:bCs w:val="false"/>
          <w:i w:val="false"/>
          <w:iCs w:val="false"/>
          <w:color w:val="1A2E33"/>
          <w:sz w:val="21"/>
          <w:szCs w:val="21"/>
        </w:rPr>
        <w:t xml:space="preserve">The core feasibility question, whether fitness can be estimated and tracked over time from free-living wearable data, has affirmative cohort-scale evidence. Using free-living heart-rate and accelerometer data from the Fenland study, a model predicted submaximal-referenced VO</w:t>
      </w:r>
      <w:r>
        <w:rPr>
          <w:rFonts w:ascii="Calibri" w:cs="Calibri" w:eastAsia="Calibri" w:hAnsi="Calibri"/>
          <w:b w:val="false"/>
          <w:bCs w:val="false"/>
          <w:i w:val="false"/>
          <w:iCs w:val="false"/>
          <w:color w:val="1A2E33"/>
          <w:sz w:val="21"/>
          <w:szCs w:val="21"/>
        </w:rPr>
        <w:t xml:space="preserve">₂</w:t>
      </w:r>
      <w:r>
        <w:rPr>
          <w:rFonts w:ascii="Calibri" w:cs="Calibri" w:eastAsia="Calibri" w:hAnsi="Calibri"/>
          <w:b w:val="false"/>
          <w:bCs w:val="false"/>
          <w:i w:val="false"/>
          <w:iCs w:val="false"/>
          <w:color w:val="1A2E33"/>
          <w:sz w:val="21"/>
          <w:szCs w:val="21"/>
        </w:rPr>
        <w:t xml:space="preserve"> max at a correlation of approximately 0.82 and, critically, tracked change over time rather than a single cross-sectional value [23]. Together with the FRIEND normative standards [16]† and the clinical-review endorsement of wearable and ML estimation [9]†, this de-risks the central technical premise: the signal exists, it is estimable at scale, and it moves in a way the model can follow.</w:t>
      </w:r>
    </w:p>
    <w:p>
      <w:pPr>
        <w:pStyle w:val="Heading1"/>
        <w:spacing w:after="140" w:before="320"/>
      </w:pPr>
      <w:r>
        <w:rPr>
          <w:rFonts w:ascii="Cambria" w:cs="Cambria" w:eastAsia="Cambria" w:hAnsi="Cambria"/>
          <w:b/>
          <w:bCs/>
          <w:color w:val="0B2027"/>
          <w:sz w:val="30"/>
          <w:szCs w:val="30"/>
        </w:rPr>
        <w:t xml:space="preserve">11.  Application: designing a VO₂-optimizing program for a high-risk cardiometabolic phenotype</w:t>
      </w:r>
    </w:p>
    <w:p>
      <w:pPr>
        <w:spacing w:after="140" w:line="276"/>
        <w:jc w:val="both"/>
      </w:pPr>
      <w:r>
        <w:rPr>
          <w:rFonts w:ascii="Calibri" w:cs="Calibri" w:eastAsia="Calibri" w:hAnsi="Calibri"/>
          <w:b w:val="false"/>
          <w:bCs w:val="false"/>
          <w:i w:val="false"/>
          <w:iCs w:val="false"/>
          <w:color w:val="1A2E33"/>
          <w:sz w:val="21"/>
          <w:szCs w:val="21"/>
        </w:rPr>
        <w:t xml:space="preserve">Sections 3 through 10 establish VO₂ max as an integrative, prognostically dominant, modifiable, and continuously estimable signal. This section applies that argument to the population where it is hardest to execute and most valuable to get right: the sedentary adult with obesity, current tobacco use, alcohol use disorder, and elevated risk for pre-diabetes. The central design claim is that an effective program treats those four exposures not as comorbidities to be managed alongside a fitness intervention, but as components of the fitness intervention itself, because each one directly suppresses measured VO₂ max through a distinct physiological channel. The section also states plainly where estimation is least trustworthy, which is precisely this phenotype.</w:t>
      </w:r>
    </w:p>
    <w:p>
      <w:pPr>
        <w:pStyle w:val="Heading2"/>
        <w:spacing w:after="90" w:before="220"/>
      </w:pPr>
      <w:r>
        <w:rPr>
          <w:rFonts w:ascii="Cambria" w:cs="Cambria" w:eastAsia="Cambria" w:hAnsi="Cambria"/>
          <w:b/>
          <w:bCs/>
          <w:color w:val="026773"/>
          <w:sz w:val="24"/>
          <w:szCs w:val="24"/>
        </w:rPr>
        <w:t xml:space="preserve">11.1  Safety stratification and estimation caveats</w:t>
      </w:r>
    </w:p>
    <w:p>
      <w:pPr>
        <w:spacing w:after="140" w:line="276"/>
        <w:jc w:val="both"/>
      </w:pPr>
      <w:r>
        <w:rPr>
          <w:rFonts w:ascii="Calibri" w:cs="Calibri" w:eastAsia="Calibri" w:hAnsi="Calibri"/>
          <w:b w:val="false"/>
          <w:bCs w:val="false"/>
          <w:i w:val="false"/>
          <w:iCs w:val="false"/>
          <w:color w:val="1A2E33"/>
          <w:sz w:val="21"/>
          <w:szCs w:val="21"/>
        </w:rPr>
        <w:t xml:space="preserve">This is the highest-risk group to place under prescribed exertion. The combination of deconditioning, obesity, smoking, and heavy alcohol use carries a high pretest probability of occult coronary disease, hypertension, and arrhythmia, with alcohol adding both cardiomyopathy and acute atrial fibrillation on the binge-associated “holiday heart” pathway [31]. The transient risk of an acute cardiac event during vigorous exertion is concentrated in the least physically active, the very definition of this cohort, even though habitual activity lowers that risk over time [34,35]. Program entry therefore requires exercise pre-participation screening consistent with current ACSM recommendations [33], with symptomatic or highest-risk patients referred for a medically supervised exercise test or CPET, which simultaneously provides the true VO₂ max anchor. Intensity is earned through demonstrated tolerance, not assumed at baseline.</w:t>
      </w:r>
    </w:p>
    <w:p>
      <w:pPr>
        <w:spacing w:after="140" w:line="276"/>
        <w:jc w:val="both"/>
      </w:pPr>
      <w:r>
        <w:rPr>
          <w:rFonts w:ascii="Calibri" w:cs="Calibri" w:eastAsia="Calibri" w:hAnsi="Calibri"/>
          <w:b w:val="false"/>
          <w:bCs w:val="false"/>
          <w:i w:val="false"/>
          <w:iCs w:val="false"/>
          <w:color w:val="1A2E33"/>
          <w:sz w:val="21"/>
          <w:szCs w:val="21"/>
        </w:rPr>
        <w:t xml:space="preserve">Every driver of this population’s risk also corrupts the heart-rate-to-oxygen-uptake inference on which wearable estimation depends (Section 2). Carbon monoxide from smoking raises carboxyhemoglobin and lowers true VO₂ max roughly in proportion to the reduction in arterial oxygen content, a fitness-independent depression of the measured value that reverses as carboxyhemoglobin clears after cessation [30]. Nicotine and alcohol distort heart-rate reserve through autonomic effects, and weight-normalized VO₂ (mL·kg⁻¹·min⁻¹) is mechanically deflated by high fat mass. The operational response is to anchor to a supervised baseline, to track absolute VO₂ (L·min⁻¹) and a fat-free-mass-indexed value alongside the weight-normalized number so that true cardiorespiratory adaptation is separated from weight loss, and to treat early free-living estimates as trend rather than truth until the confounders begin to clear (Section 7).</w:t>
      </w:r>
    </w:p>
    <w:p>
      <w:pPr>
        <w:pStyle w:val="Heading2"/>
        <w:spacing w:after="90" w:before="220"/>
      </w:pPr>
      <w:r>
        <w:rPr>
          <w:rFonts w:ascii="Cambria" w:cs="Cambria" w:eastAsia="Cambria" w:hAnsi="Cambria"/>
          <w:b/>
          <w:bCs/>
          <w:color w:val="026773"/>
          <w:sz w:val="24"/>
          <w:szCs w:val="24"/>
        </w:rPr>
        <w:t xml:space="preserve">11.2  The staged intervention and its confounder integration</w:t>
      </w:r>
    </w:p>
    <w:p>
      <w:pPr>
        <w:spacing w:after="140" w:line="276"/>
        <w:jc w:val="both"/>
      </w:pPr>
      <w:r>
        <w:rPr>
          <w:rFonts w:ascii="Calibri" w:cs="Calibri" w:eastAsia="Calibri" w:hAnsi="Calibri"/>
          <w:b w:val="false"/>
          <w:bCs w:val="false"/>
          <w:i w:val="false"/>
          <w:iCs w:val="false"/>
          <w:color w:val="1A2E33"/>
          <w:sz w:val="21"/>
          <w:szCs w:val="21"/>
        </w:rPr>
        <w:t xml:space="preserve">Because this cohort sits on the steepest segment of the fitness–mortality curve, where the largest absolute risk reduction per MET is observed [4,13], even modest gains are clinically meaningful, and the program is sequenced to capture them safely. Phase 1 builds an aerobic base and a durable habit through low-intensity, high-frequency, low-impact work (incline walking, cycling, water-based activity) that protects deconditioned joints, with resistance training introduced early because added muscle mass improves insulin sensitivity and preserves fat-free mass, raising VO₂ per kilogram as weight falls [26]. Phase 2 introduces interval training once the patient is screened and tolerant; interval programs of twelve weeks or longer produce large VO₂ max gains together with improvements in glucose, blood pressure, waist circumference, and body-fat percentage [15]†, and structured exercise lowers HbA1c independent of medication change [27]. Post-meal walking is used as a low-burden adjunct that blunts postprandial glucose excursions [28,29].</w:t>
      </w:r>
    </w:p>
    <w:p>
      <w:pPr>
        <w:spacing w:after="140" w:line="276"/>
        <w:jc w:val="both"/>
      </w:pPr>
      <w:r>
        <w:rPr>
          <w:rFonts w:ascii="Calibri" w:cs="Calibri" w:eastAsia="Calibri" w:hAnsi="Calibri"/>
          <w:b w:val="false"/>
          <w:bCs w:val="false"/>
          <w:i w:val="false"/>
          <w:iCs w:val="false"/>
          <w:color w:val="1A2E33"/>
          <w:sz w:val="21"/>
          <w:szCs w:val="21"/>
        </w:rPr>
        <w:t xml:space="preserve">The four exposures are addressed inside the program rather than beside it. Smoking cessation functions as a VO₂ intervention in its own right, since clearing carboxyhemoglobin raises measured capacity within weeks [30], and it requires genuine pharmacotherapy and counseling rather than a wearable nudge. Alcohol reduction improves training adaptation and recovery, including post-exercise muscle protein synthesis [32], and lowers the arrhythmia and cardiomyopathy risk that otherwise caps output and threatens safety [31]; it likewise requires an appropriate alcohol-use-disorder treatment pathway, not app moralizing, which loses the patient. Weight loss raises VO₂ per kilogram directly. The program is thus also a diabetes-prevention program in the mold of the Diabetes Prevention Program, in which an intensive lifestyle intervention reduced incident type 2 diabetes by 58 percent over placebo [24]. One honest limit belongs here: intensive lifestyle intervention reliably improves fitness, glycemia, and risk factors, but in established diabetes the Look AHEAD trial found that a weight-loss-focused program did not reduce hard cardiovascular events [25], so the program is positioned for risk-factor improvement, fitness gain, and diabetes prevention, and does not claim guaranteed event reduction.</w:t>
      </w:r>
    </w:p>
    <w:p>
      <w:pPr>
        <w:pStyle w:val="Heading2"/>
        <w:spacing w:after="90" w:before="220"/>
      </w:pPr>
      <w:r>
        <w:rPr>
          <w:rFonts w:ascii="Cambria" w:cs="Cambria" w:eastAsia="Cambria" w:hAnsi="Cambria"/>
          <w:b/>
          <w:bCs/>
          <w:color w:val="026773"/>
          <w:sz w:val="24"/>
          <w:szCs w:val="24"/>
        </w:rPr>
        <w:t xml:space="preserve">11.3  Fitness as the integrative scoreboard</w:t>
      </w:r>
    </w:p>
    <w:p>
      <w:pPr>
        <w:spacing w:after="140" w:line="276"/>
        <w:jc w:val="both"/>
      </w:pPr>
      <w:r>
        <w:rPr>
          <w:rFonts w:ascii="Calibri" w:cs="Calibri" w:eastAsia="Calibri" w:hAnsi="Calibri"/>
          <w:b w:val="false"/>
          <w:bCs w:val="false"/>
          <w:i w:val="false"/>
          <w:iCs w:val="false"/>
          <w:color w:val="1A2E33"/>
          <w:sz w:val="21"/>
          <w:szCs w:val="21"/>
        </w:rPr>
        <w:t xml:space="preserve">For this phenotype the estimated fitness trajectory is valuable precisely because it is one number that reflects whether the entire bundle, cessation, alcohol reduction, weight loss, glycemic improvement, and training, is net working. A patient whose weight has fallen but whose fitness is flat because tobacco use continues is visible on the curve in a way a marker-by-marker panel would obscure (Section 3). The trajectory is monitored continuously under remote-patient-monitoring workflows with explicit red-flag escalation for exertional chest pain, syncope, or new palpitations. The caveat carried from Section 11.1 remains central: in this population the estimate is at its noisiest, so the program leans on the supervised anchor and on paired absolute and weight-indexed VO₂ until the confounders clear and the free-living signal becomes trustworthy.</w:t>
      </w:r>
    </w:p>
    <w:p>
      <w:pPr>
        <w:pStyle w:val="Heading1"/>
        <w:spacing w:after="140" w:before="320"/>
      </w:pPr>
      <w:r>
        <w:rPr>
          <w:rFonts w:ascii="Cambria" w:cs="Cambria" w:eastAsia="Cambria" w:hAnsi="Cambria"/>
          <w:b/>
          <w:bCs/>
          <w:color w:val="0B2027"/>
          <w:sz w:val="30"/>
          <w:szCs w:val="30"/>
        </w:rPr>
        <w:t xml:space="preserve">12.  Limitations, evidence gaps, and caveats</w:t>
      </w:r>
    </w:p>
    <w:p>
      <w:pPr>
        <w:spacing w:after="140" w:line="276"/>
        <w:jc w:val="both"/>
      </w:pPr>
      <w:r>
        <w:rPr>
          <w:rFonts w:ascii="Calibri" w:cs="Calibri" w:eastAsia="Calibri" w:hAnsi="Calibri"/>
          <w:b w:val="false"/>
          <w:bCs w:val="false"/>
          <w:i w:val="false"/>
          <w:iCs w:val="false"/>
          <w:color w:val="1A2E33"/>
          <w:sz w:val="21"/>
          <w:szCs w:val="21"/>
        </w:rPr>
        <w:t xml:space="preserve">Several claims warrant explicit caution before external use. First, no consumer wearable measures VO</w:t>
      </w:r>
      <w:r>
        <w:rPr>
          <w:rFonts w:ascii="Calibri" w:cs="Calibri" w:eastAsia="Calibri" w:hAnsi="Calibri"/>
          <w:b w:val="false"/>
          <w:bCs w:val="false"/>
          <w:i w:val="false"/>
          <w:iCs w:val="false"/>
          <w:color w:val="1A2E33"/>
          <w:sz w:val="21"/>
          <w:szCs w:val="21"/>
        </w:rPr>
        <w:t xml:space="preserve">₂</w:t>
      </w:r>
      <w:r>
        <w:rPr>
          <w:rFonts w:ascii="Calibri" w:cs="Calibri" w:eastAsia="Calibri" w:hAnsi="Calibri"/>
          <w:b w:val="false"/>
          <w:bCs w:val="false"/>
          <w:i w:val="false"/>
          <w:iCs w:val="false"/>
          <w:color w:val="1A2E33"/>
          <w:sz w:val="21"/>
          <w:szCs w:val="21"/>
        </w:rPr>
        <w:t xml:space="preserve"> max; all values are model estimates, and honesty on this point is a strategic asset rather than a liability. Second, certain exact effect sizes cited from secondary summaries, notably the ~44% all-cause mortality reduction in the unfit-to-fit analysis [13] and the quartile-specific reductions in the Norwegian cohort [14], should be confirmed against the primary PDFs before being quoted with confidence intervals. Third, the CRF–OSA relationship is genuinely inconclusive [2]†, and should be presented as a stratification opportunity rather than an established reduction. Fourth, the assertion that no competitor operationalizes continuously-estimated VO</w:t>
      </w:r>
      <w:r>
        <w:rPr>
          <w:rFonts w:ascii="Calibri" w:cs="Calibri" w:eastAsia="Calibri" w:hAnsi="Calibri"/>
          <w:b w:val="false"/>
          <w:bCs w:val="false"/>
          <w:i w:val="false"/>
          <w:iCs w:val="false"/>
          <w:color w:val="1A2E33"/>
          <w:sz w:val="21"/>
          <w:szCs w:val="21"/>
        </w:rPr>
        <w:t xml:space="preserve">₂</w:t>
      </w:r>
      <w:r>
        <w:rPr>
          <w:rFonts w:ascii="Calibri" w:cs="Calibri" w:eastAsia="Calibri" w:hAnsi="Calibri"/>
          <w:b w:val="false"/>
          <w:bCs w:val="false"/>
          <w:i w:val="false"/>
          <w:iCs w:val="false"/>
          <w:color w:val="1A2E33"/>
          <w:sz w:val="21"/>
          <w:szCs w:val="21"/>
        </w:rPr>
        <w:t xml:space="preserve"> max as a clinical management signal is a negative claim consistent with current diligence but not provable in the absolute. Fifth, the evidence gap named repeatedly in the clinical review, the absence of large-scale validation and evidence-based protocols for estimated VO</w:t>
      </w:r>
      <w:r>
        <w:rPr>
          <w:rFonts w:ascii="Calibri" w:cs="Calibri" w:eastAsia="Calibri" w:hAnsi="Calibri"/>
          <w:b w:val="false"/>
          <w:bCs w:val="false"/>
          <w:i w:val="false"/>
          <w:iCs w:val="false"/>
          <w:color w:val="1A2E33"/>
          <w:sz w:val="21"/>
          <w:szCs w:val="21"/>
        </w:rPr>
        <w:t xml:space="preserve">₂</w:t>
      </w:r>
      <w:r>
        <w:rPr>
          <w:rFonts w:ascii="Calibri" w:cs="Calibri" w:eastAsia="Calibri" w:hAnsi="Calibri"/>
          <w:b w:val="false"/>
          <w:bCs w:val="false"/>
          <w:i w:val="false"/>
          <w:iCs w:val="false"/>
          <w:color w:val="1A2E33"/>
          <w:sz w:val="21"/>
          <w:szCs w:val="21"/>
        </w:rPr>
        <w:t xml:space="preserve"> max in routine care [9]†, is simultaneously the market opportunity and the primary execution risk, and is addressed by the staged validation plan in the main thesis.</w:t>
      </w:r>
    </w:p>
    <w:p>
      <w:pPr>
        <w:pStyle w:val="Heading1"/>
        <w:spacing w:after="140" w:before="320"/>
      </w:pPr>
      <w:r>
        <w:rPr>
          <w:rFonts w:ascii="Cambria" w:cs="Cambria" w:eastAsia="Cambria" w:hAnsi="Cambria"/>
          <w:b/>
          <w:bCs/>
          <w:color w:val="0B2027"/>
          <w:sz w:val="30"/>
          <w:szCs w:val="30"/>
        </w:rPr>
        <w:t xml:space="preserve">13.  References</w:t>
      </w:r>
    </w:p>
    <w:p>
      <w:pPr>
        <w:spacing w:after="120"/>
      </w:pPr>
      <w:r>
        <w:rPr>
          <w:rFonts w:ascii="Calibri" w:cs="Calibri" w:eastAsia="Calibri" w:hAnsi="Calibri"/>
          <w:i/>
          <w:iCs/>
          <w:color w:val="5E767D"/>
          <w:sz w:val="18"/>
          <w:szCs w:val="18"/>
        </w:rPr>
        <w:t xml:space="preserve">† Primary publication supplied by the author.</w:t>
      </w:r>
    </w:p>
    <w:p>
      <w:pPr>
        <w:spacing w:after="100" w:line="264"/>
        <w:ind w:left="360" w:hanging="360"/>
      </w:pPr>
      <w:r>
        <w:rPr>
          <w:rFonts w:ascii="Calibri" w:cs="Calibri" w:eastAsia="Calibri" w:hAnsi="Calibri"/>
          <w:color w:val="1A2E33"/>
          <w:sz w:val="20"/>
          <w:szCs w:val="20"/>
        </w:rPr>
        <w:t xml:space="preserve">1.	</w:t>
      </w:r>
      <w:r>
        <w:rPr>
          <w:rFonts w:ascii="Calibri" w:cs="Calibri" w:eastAsia="Calibri" w:hAnsi="Calibri"/>
          <w:b w:val="false"/>
          <w:bCs w:val="false"/>
          <w:i w:val="false"/>
          <w:iCs w:val="false"/>
          <w:color w:val="1A2E33"/>
          <w:sz w:val="20"/>
          <w:szCs w:val="20"/>
        </w:rPr>
        <w:t xml:space="preserve">Abdalla HM, Dreher L, VanDolah H, et al. </w:t>
      </w:r>
      <w:r>
        <w:rPr>
          <w:rFonts w:ascii="Calibri" w:cs="Calibri" w:eastAsia="Calibri" w:hAnsi="Calibri"/>
          <w:b w:val="false"/>
          <w:bCs w:val="false"/>
          <w:i/>
          <w:iCs/>
          <w:color w:val="1A2E33"/>
          <w:sz w:val="20"/>
          <w:szCs w:val="20"/>
        </w:rPr>
        <w:t xml:space="preserve">VO₂ max in clinical cardiology: clinical applications, evidence gaps, and future directions. </w:t>
      </w:r>
      <w:r>
        <w:rPr>
          <w:rFonts w:ascii="Calibri" w:cs="Calibri" w:eastAsia="Calibri" w:hAnsi="Calibri"/>
          <w:b w:val="false"/>
          <w:bCs w:val="false"/>
          <w:i w:val="false"/>
          <w:iCs w:val="false"/>
          <w:color w:val="1A2E33"/>
          <w:sz w:val="20"/>
          <w:szCs w:val="20"/>
        </w:rPr>
        <w:t xml:space="preserve">Current Cardiology Reports. 2025;27:130. †</w:t>
      </w:r>
    </w:p>
    <w:p>
      <w:pPr>
        <w:spacing w:after="100" w:line="264"/>
        <w:ind w:left="360" w:hanging="360"/>
      </w:pPr>
      <w:r>
        <w:rPr>
          <w:rFonts w:ascii="Calibri" w:cs="Calibri" w:eastAsia="Calibri" w:hAnsi="Calibri"/>
          <w:color w:val="1A2E33"/>
          <w:sz w:val="20"/>
          <w:szCs w:val="20"/>
        </w:rPr>
        <w:t xml:space="preserve">2.	</w:t>
      </w:r>
      <w:r>
        <w:rPr>
          <w:rFonts w:ascii="Calibri" w:cs="Calibri" w:eastAsia="Calibri" w:hAnsi="Calibri"/>
          <w:b w:val="false"/>
          <w:bCs w:val="false"/>
          <w:i w:val="false"/>
          <w:iCs w:val="false"/>
          <w:color w:val="1A2E33"/>
          <w:sz w:val="20"/>
          <w:szCs w:val="20"/>
        </w:rPr>
        <w:t xml:space="preserve">Powell TA, Mysliwiec V, Brock MS, Morris MJ. </w:t>
      </w:r>
      <w:r>
        <w:rPr>
          <w:rFonts w:ascii="Calibri" w:cs="Calibri" w:eastAsia="Calibri" w:hAnsi="Calibri"/>
          <w:b w:val="false"/>
          <w:bCs w:val="false"/>
          <w:i/>
          <w:iCs/>
          <w:color w:val="1A2E33"/>
          <w:sz w:val="20"/>
          <w:szCs w:val="20"/>
        </w:rPr>
        <w:t xml:space="preserve">OSA and cardiorespiratory fitness: a review. </w:t>
      </w:r>
      <w:r>
        <w:rPr>
          <w:rFonts w:ascii="Calibri" w:cs="Calibri" w:eastAsia="Calibri" w:hAnsi="Calibri"/>
          <w:b w:val="false"/>
          <w:bCs w:val="false"/>
          <w:i w:val="false"/>
          <w:iCs w:val="false"/>
          <w:color w:val="1A2E33"/>
          <w:sz w:val="20"/>
          <w:szCs w:val="20"/>
        </w:rPr>
        <w:t xml:space="preserve">Journal of Clinical Sleep Medicine. 2022;18(1):279–288. †</w:t>
      </w:r>
    </w:p>
    <w:p>
      <w:pPr>
        <w:spacing w:after="100" w:line="264"/>
        <w:ind w:left="360" w:hanging="360"/>
      </w:pPr>
      <w:r>
        <w:rPr>
          <w:rFonts w:ascii="Calibri" w:cs="Calibri" w:eastAsia="Calibri" w:hAnsi="Calibri"/>
          <w:color w:val="1A2E33"/>
          <w:sz w:val="20"/>
          <w:szCs w:val="20"/>
        </w:rPr>
        <w:t xml:space="preserve">3.	</w:t>
      </w:r>
      <w:r>
        <w:rPr>
          <w:rFonts w:ascii="Calibri" w:cs="Calibri" w:eastAsia="Calibri" w:hAnsi="Calibri"/>
          <w:b w:val="false"/>
          <w:bCs w:val="false"/>
          <w:i w:val="false"/>
          <w:iCs w:val="false"/>
          <w:color w:val="1A2E33"/>
          <w:sz w:val="20"/>
          <w:szCs w:val="20"/>
        </w:rPr>
        <w:t xml:space="preserve">Mandsager K, Harb S, Cremer P, Phelan D, Nissen SE, Jaber W. </w:t>
      </w:r>
      <w:r>
        <w:rPr>
          <w:rFonts w:ascii="Calibri" w:cs="Calibri" w:eastAsia="Calibri" w:hAnsi="Calibri"/>
          <w:b w:val="false"/>
          <w:bCs w:val="false"/>
          <w:i/>
          <w:iCs/>
          <w:color w:val="1A2E33"/>
          <w:sz w:val="20"/>
          <w:szCs w:val="20"/>
        </w:rPr>
        <w:t xml:space="preserve">Association of cardiorespiratory fitness with long-term mortality among adults undergoing exercise treadmill testing. </w:t>
      </w:r>
      <w:r>
        <w:rPr>
          <w:rFonts w:ascii="Calibri" w:cs="Calibri" w:eastAsia="Calibri" w:hAnsi="Calibri"/>
          <w:b w:val="false"/>
          <w:bCs w:val="false"/>
          <w:i w:val="false"/>
          <w:iCs w:val="false"/>
          <w:color w:val="1A2E33"/>
          <w:sz w:val="20"/>
          <w:szCs w:val="20"/>
        </w:rPr>
        <w:t xml:space="preserve">JAMA Network Open. 2018;1(6):e183605.</w:t>
      </w:r>
    </w:p>
    <w:p>
      <w:pPr>
        <w:spacing w:after="100" w:line="264"/>
        <w:ind w:left="360" w:hanging="360"/>
      </w:pPr>
      <w:r>
        <w:rPr>
          <w:rFonts w:ascii="Calibri" w:cs="Calibri" w:eastAsia="Calibri" w:hAnsi="Calibri"/>
          <w:color w:val="1A2E33"/>
          <w:sz w:val="20"/>
          <w:szCs w:val="20"/>
        </w:rPr>
        <w:t xml:space="preserve">4.	</w:t>
      </w:r>
      <w:r>
        <w:rPr>
          <w:rFonts w:ascii="Calibri" w:cs="Calibri" w:eastAsia="Calibri" w:hAnsi="Calibri"/>
          <w:b w:val="false"/>
          <w:bCs w:val="false"/>
          <w:i w:val="false"/>
          <w:iCs w:val="false"/>
          <w:color w:val="1A2E33"/>
          <w:sz w:val="20"/>
          <w:szCs w:val="20"/>
        </w:rPr>
        <w:t xml:space="preserve">Kokkinos P, Faselis C, Samuel IBH, et al. </w:t>
      </w:r>
      <w:r>
        <w:rPr>
          <w:rFonts w:ascii="Calibri" w:cs="Calibri" w:eastAsia="Calibri" w:hAnsi="Calibri"/>
          <w:b w:val="false"/>
          <w:bCs w:val="false"/>
          <w:i/>
          <w:iCs/>
          <w:color w:val="1A2E33"/>
          <w:sz w:val="20"/>
          <w:szCs w:val="20"/>
        </w:rPr>
        <w:t xml:space="preserve">Cardiorespiratory fitness and mortality risk across the spectra of age, race, and sex. </w:t>
      </w:r>
      <w:r>
        <w:rPr>
          <w:rFonts w:ascii="Calibri" w:cs="Calibri" w:eastAsia="Calibri" w:hAnsi="Calibri"/>
          <w:b w:val="false"/>
          <w:bCs w:val="false"/>
          <w:i w:val="false"/>
          <w:iCs w:val="false"/>
          <w:color w:val="1A2E33"/>
          <w:sz w:val="20"/>
          <w:szCs w:val="20"/>
        </w:rPr>
        <w:t xml:space="preserve">Journal of the American College of Cardiology. 2022;80(6):598–609.</w:t>
      </w:r>
    </w:p>
    <w:p>
      <w:pPr>
        <w:spacing w:after="100" w:line="264"/>
        <w:ind w:left="360" w:hanging="360"/>
      </w:pPr>
      <w:r>
        <w:rPr>
          <w:rFonts w:ascii="Calibri" w:cs="Calibri" w:eastAsia="Calibri" w:hAnsi="Calibri"/>
          <w:color w:val="1A2E33"/>
          <w:sz w:val="20"/>
          <w:szCs w:val="20"/>
        </w:rPr>
        <w:t xml:space="preserve">5.	</w:t>
      </w:r>
      <w:r>
        <w:rPr>
          <w:rFonts w:ascii="Calibri" w:cs="Calibri" w:eastAsia="Calibri" w:hAnsi="Calibri"/>
          <w:b w:val="false"/>
          <w:bCs w:val="false"/>
          <w:i w:val="false"/>
          <w:iCs w:val="false"/>
          <w:color w:val="1A2E33"/>
          <w:sz w:val="20"/>
          <w:szCs w:val="20"/>
        </w:rPr>
        <w:t xml:space="preserve">Kodama S, Saito K, Tanaka S, et al. </w:t>
      </w:r>
      <w:r>
        <w:rPr>
          <w:rFonts w:ascii="Calibri" w:cs="Calibri" w:eastAsia="Calibri" w:hAnsi="Calibri"/>
          <w:b w:val="false"/>
          <w:bCs w:val="false"/>
          <w:i/>
          <w:iCs/>
          <w:color w:val="1A2E33"/>
          <w:sz w:val="20"/>
          <w:szCs w:val="20"/>
        </w:rPr>
        <w:t xml:space="preserve">Cardiorespiratory fitness as a quantitative predictor of all-cause mortality and cardiovascular events in healthy men and women: a meta-analysis. </w:t>
      </w:r>
      <w:r>
        <w:rPr>
          <w:rFonts w:ascii="Calibri" w:cs="Calibri" w:eastAsia="Calibri" w:hAnsi="Calibri"/>
          <w:b w:val="false"/>
          <w:bCs w:val="false"/>
          <w:i w:val="false"/>
          <w:iCs w:val="false"/>
          <w:color w:val="1A2E33"/>
          <w:sz w:val="20"/>
          <w:szCs w:val="20"/>
        </w:rPr>
        <w:t xml:space="preserve">JAMA. 2009;301(19):2024–2035.</w:t>
      </w:r>
    </w:p>
    <w:p>
      <w:pPr>
        <w:spacing w:after="100" w:line="264"/>
        <w:ind w:left="360" w:hanging="360"/>
      </w:pPr>
      <w:r>
        <w:rPr>
          <w:rFonts w:ascii="Calibri" w:cs="Calibri" w:eastAsia="Calibri" w:hAnsi="Calibri"/>
          <w:color w:val="1A2E33"/>
          <w:sz w:val="20"/>
          <w:szCs w:val="20"/>
        </w:rPr>
        <w:t xml:space="preserve">6.	</w:t>
      </w:r>
      <w:r>
        <w:rPr>
          <w:rFonts w:ascii="Calibri" w:cs="Calibri" w:eastAsia="Calibri" w:hAnsi="Calibri"/>
          <w:b w:val="false"/>
          <w:bCs w:val="false"/>
          <w:i w:val="false"/>
          <w:iCs w:val="false"/>
          <w:color w:val="1A2E33"/>
          <w:sz w:val="20"/>
          <w:szCs w:val="20"/>
        </w:rPr>
        <w:t xml:space="preserve">Blair SN, Kohl HW III, Paffenbarger RS Jr, Clark DG, Cooper KH, Gibbons LW. </w:t>
      </w:r>
      <w:r>
        <w:rPr>
          <w:rFonts w:ascii="Calibri" w:cs="Calibri" w:eastAsia="Calibri" w:hAnsi="Calibri"/>
          <w:b w:val="false"/>
          <w:bCs w:val="false"/>
          <w:i/>
          <w:iCs/>
          <w:color w:val="1A2E33"/>
          <w:sz w:val="20"/>
          <w:szCs w:val="20"/>
        </w:rPr>
        <w:t xml:space="preserve">Physical fitness and all-cause mortality: a prospective study of healthy men and women. </w:t>
      </w:r>
      <w:r>
        <w:rPr>
          <w:rFonts w:ascii="Calibri" w:cs="Calibri" w:eastAsia="Calibri" w:hAnsi="Calibri"/>
          <w:b w:val="false"/>
          <w:bCs w:val="false"/>
          <w:i w:val="false"/>
          <w:iCs w:val="false"/>
          <w:color w:val="1A2E33"/>
          <w:sz w:val="20"/>
          <w:szCs w:val="20"/>
        </w:rPr>
        <w:t xml:space="preserve">JAMA. 1989;262(17):2395–2401.</w:t>
      </w:r>
    </w:p>
    <w:p>
      <w:pPr>
        <w:spacing w:after="100" w:line="264"/>
        <w:ind w:left="360" w:hanging="360"/>
      </w:pPr>
      <w:r>
        <w:rPr>
          <w:rFonts w:ascii="Calibri" w:cs="Calibri" w:eastAsia="Calibri" w:hAnsi="Calibri"/>
          <w:color w:val="1A2E33"/>
          <w:sz w:val="20"/>
          <w:szCs w:val="20"/>
        </w:rPr>
        <w:t xml:space="preserve">7.	</w:t>
      </w:r>
      <w:r>
        <w:rPr>
          <w:rFonts w:ascii="Calibri" w:cs="Calibri" w:eastAsia="Calibri" w:hAnsi="Calibri"/>
          <w:b w:val="false"/>
          <w:bCs w:val="false"/>
          <w:i w:val="false"/>
          <w:iCs w:val="false"/>
          <w:color w:val="1A2E33"/>
          <w:sz w:val="20"/>
          <w:szCs w:val="20"/>
        </w:rPr>
        <w:t xml:space="preserve">Ross R, Blair SN, Arena R, et al. </w:t>
      </w:r>
      <w:r>
        <w:rPr>
          <w:rFonts w:ascii="Calibri" w:cs="Calibri" w:eastAsia="Calibri" w:hAnsi="Calibri"/>
          <w:b w:val="false"/>
          <w:bCs w:val="false"/>
          <w:i/>
          <w:iCs/>
          <w:color w:val="1A2E33"/>
          <w:sz w:val="20"/>
          <w:szCs w:val="20"/>
        </w:rPr>
        <w:t xml:space="preserve">Importance of assessing cardiorespiratory fitness in clinical practice: a case for fitness as a clinical vital sign. A scientific statement from the American Heart Association. </w:t>
      </w:r>
      <w:r>
        <w:rPr>
          <w:rFonts w:ascii="Calibri" w:cs="Calibri" w:eastAsia="Calibri" w:hAnsi="Calibri"/>
          <w:b w:val="false"/>
          <w:bCs w:val="false"/>
          <w:i w:val="false"/>
          <w:iCs w:val="false"/>
          <w:color w:val="1A2E33"/>
          <w:sz w:val="20"/>
          <w:szCs w:val="20"/>
        </w:rPr>
        <w:t xml:space="preserve">Circulation. 2016;134(24):e653–e699.</w:t>
      </w:r>
    </w:p>
    <w:p>
      <w:pPr>
        <w:spacing w:after="100" w:line="264"/>
        <w:ind w:left="360" w:hanging="360"/>
      </w:pPr>
      <w:r>
        <w:rPr>
          <w:rFonts w:ascii="Calibri" w:cs="Calibri" w:eastAsia="Calibri" w:hAnsi="Calibri"/>
          <w:color w:val="1A2E33"/>
          <w:sz w:val="20"/>
          <w:szCs w:val="20"/>
        </w:rPr>
        <w:t xml:space="preserve">8.	</w:t>
      </w:r>
      <w:r>
        <w:rPr>
          <w:rFonts w:ascii="Calibri" w:cs="Calibri" w:eastAsia="Calibri" w:hAnsi="Calibri"/>
          <w:b w:val="false"/>
          <w:bCs w:val="false"/>
          <w:i w:val="false"/>
          <w:iCs w:val="false"/>
          <w:color w:val="1A2E33"/>
          <w:sz w:val="20"/>
          <w:szCs w:val="20"/>
        </w:rPr>
        <w:t xml:space="preserve">Kaminsky LA, Arena R, Myers J, et al. </w:t>
      </w:r>
      <w:r>
        <w:rPr>
          <w:rFonts w:ascii="Calibri" w:cs="Calibri" w:eastAsia="Calibri" w:hAnsi="Calibri"/>
          <w:b w:val="false"/>
          <w:bCs w:val="false"/>
          <w:i/>
          <w:iCs/>
          <w:color w:val="1A2E33"/>
          <w:sz w:val="20"/>
          <w:szCs w:val="20"/>
        </w:rPr>
        <w:t xml:space="preserve">Updated reference standards and the case for cardiorespiratory fitness as a vital sign (update to the 2016 AHA statement). </w:t>
      </w:r>
      <w:r>
        <w:rPr>
          <w:rFonts w:ascii="Calibri" w:cs="Calibri" w:eastAsia="Calibri" w:hAnsi="Calibri"/>
          <w:b w:val="false"/>
          <w:bCs w:val="false"/>
          <w:i w:val="false"/>
          <w:iCs w:val="false"/>
          <w:color w:val="1A2E33"/>
          <w:sz w:val="20"/>
          <w:szCs w:val="20"/>
        </w:rPr>
        <w:t xml:space="preserve">Progress in Cardiovascular Diseases. 2024. PMID 38387825.</w:t>
      </w:r>
    </w:p>
    <w:p>
      <w:pPr>
        <w:spacing w:after="100" w:line="264"/>
        <w:ind w:left="360" w:hanging="360"/>
      </w:pPr>
      <w:r>
        <w:rPr>
          <w:rFonts w:ascii="Calibri" w:cs="Calibri" w:eastAsia="Calibri" w:hAnsi="Calibri"/>
          <w:color w:val="1A2E33"/>
          <w:sz w:val="20"/>
          <w:szCs w:val="20"/>
        </w:rPr>
        <w:t xml:space="preserve">9.	</w:t>
      </w:r>
      <w:r>
        <w:rPr>
          <w:rFonts w:ascii="Calibri" w:cs="Calibri" w:eastAsia="Calibri" w:hAnsi="Calibri"/>
          <w:b w:val="false"/>
          <w:bCs w:val="false"/>
          <w:i w:val="false"/>
          <w:iCs w:val="false"/>
          <w:color w:val="1A2E33"/>
          <w:sz w:val="20"/>
          <w:szCs w:val="20"/>
        </w:rPr>
        <w:t xml:space="preserve">(See reference 1.) Abdalla HM, et al. </w:t>
      </w:r>
      <w:r>
        <w:rPr>
          <w:rFonts w:ascii="Calibri" w:cs="Calibri" w:eastAsia="Calibri" w:hAnsi="Calibri"/>
          <w:b w:val="false"/>
          <w:bCs w:val="false"/>
          <w:i/>
          <w:iCs/>
          <w:color w:val="1A2E33"/>
          <w:sz w:val="20"/>
          <w:szCs w:val="20"/>
        </w:rPr>
        <w:t xml:space="preserve">VO₂ max in clinical cardiology. </w:t>
      </w:r>
      <w:r>
        <w:rPr>
          <w:rFonts w:ascii="Calibri" w:cs="Calibri" w:eastAsia="Calibri" w:hAnsi="Calibri"/>
          <w:b w:val="false"/>
          <w:bCs w:val="false"/>
          <w:i w:val="false"/>
          <w:iCs w:val="false"/>
          <w:color w:val="1A2E33"/>
          <w:sz w:val="20"/>
          <w:szCs w:val="20"/>
        </w:rPr>
        <w:t xml:space="preserve">Current Cardiology Reports. 2025;27:130. †  [Heart failure, CAD, HCM, amyloidosis; ML and wearable estimation; seismocardiography comparison.]</w:t>
      </w:r>
    </w:p>
    <w:p>
      <w:pPr>
        <w:spacing w:after="100" w:line="264"/>
        <w:ind w:left="360" w:hanging="360"/>
      </w:pPr>
      <w:r>
        <w:rPr>
          <w:rFonts w:ascii="Calibri" w:cs="Calibri" w:eastAsia="Calibri" w:hAnsi="Calibri"/>
          <w:color w:val="1A2E33"/>
          <w:sz w:val="20"/>
          <w:szCs w:val="20"/>
        </w:rPr>
        <w:t xml:space="preserve">10.	</w:t>
      </w:r>
      <w:r>
        <w:rPr>
          <w:rFonts w:ascii="Calibri" w:cs="Calibri" w:eastAsia="Calibri" w:hAnsi="Calibri"/>
          <w:b w:val="false"/>
          <w:bCs w:val="false"/>
          <w:i w:val="false"/>
          <w:iCs w:val="false"/>
          <w:color w:val="1A2E33"/>
          <w:sz w:val="20"/>
          <w:szCs w:val="20"/>
        </w:rPr>
        <w:t xml:space="preserve">Tarp J, Støle AP, Blond K, Grøntved A. </w:t>
      </w:r>
      <w:r>
        <w:rPr>
          <w:rFonts w:ascii="Calibri" w:cs="Calibri" w:eastAsia="Calibri" w:hAnsi="Calibri"/>
          <w:b w:val="false"/>
          <w:bCs w:val="false"/>
          <w:i/>
          <w:iCs/>
          <w:color w:val="1A2E33"/>
          <w:sz w:val="20"/>
          <w:szCs w:val="20"/>
        </w:rPr>
        <w:t xml:space="preserve">Cardiorespiratory fitness, muscular strength and risk of type 2 diabetes: a systematic review and meta-analysis. </w:t>
      </w:r>
      <w:r>
        <w:rPr>
          <w:rFonts w:ascii="Calibri" w:cs="Calibri" w:eastAsia="Calibri" w:hAnsi="Calibri"/>
          <w:b w:val="false"/>
          <w:bCs w:val="false"/>
          <w:i w:val="false"/>
          <w:iCs w:val="false"/>
          <w:color w:val="1A2E33"/>
          <w:sz w:val="20"/>
          <w:szCs w:val="20"/>
        </w:rPr>
        <w:t xml:space="preserve">Diabetologia. 2019;62(7):1129–1142.</w:t>
      </w:r>
    </w:p>
    <w:p>
      <w:pPr>
        <w:spacing w:after="100" w:line="264"/>
        <w:ind w:left="360" w:hanging="360"/>
      </w:pPr>
      <w:r>
        <w:rPr>
          <w:rFonts w:ascii="Calibri" w:cs="Calibri" w:eastAsia="Calibri" w:hAnsi="Calibri"/>
          <w:color w:val="1A2E33"/>
          <w:sz w:val="20"/>
          <w:szCs w:val="20"/>
        </w:rPr>
        <w:t xml:space="preserve">11.	</w:t>
      </w:r>
      <w:r>
        <w:rPr>
          <w:rFonts w:ascii="Calibri" w:cs="Calibri" w:eastAsia="Calibri" w:hAnsi="Calibri"/>
          <w:b w:val="false"/>
          <w:bCs w:val="false"/>
          <w:i w:val="false"/>
          <w:iCs w:val="false"/>
          <w:color w:val="1A2E33"/>
          <w:sz w:val="20"/>
          <w:szCs w:val="20"/>
        </w:rPr>
        <w:t xml:space="preserve">Systematic review and dose-response meta-analysis. </w:t>
      </w:r>
      <w:r>
        <w:rPr>
          <w:rFonts w:ascii="Calibri" w:cs="Calibri" w:eastAsia="Calibri" w:hAnsi="Calibri"/>
          <w:b w:val="false"/>
          <w:bCs w:val="false"/>
          <w:i/>
          <w:iCs/>
          <w:color w:val="1A2E33"/>
          <w:sz w:val="20"/>
          <w:szCs w:val="20"/>
        </w:rPr>
        <w:t xml:space="preserve">The association of cardiorespiratory fitness and the risk of hypertension. </w:t>
      </w:r>
      <w:r>
        <w:rPr>
          <w:rFonts w:ascii="Calibri" w:cs="Calibri" w:eastAsia="Calibri" w:hAnsi="Calibri"/>
          <w:b w:val="false"/>
          <w:bCs w:val="false"/>
          <w:i w:val="false"/>
          <w:iCs w:val="false"/>
          <w:color w:val="1A2E33"/>
          <w:sz w:val="20"/>
          <w:szCs w:val="20"/>
        </w:rPr>
        <w:t xml:space="preserve">Journal of Human Hypertension. 2021;35(12):1067–1074.  [First author to be confirmed against primary source.]</w:t>
      </w:r>
    </w:p>
    <w:p>
      <w:pPr>
        <w:spacing w:after="100" w:line="264"/>
        <w:ind w:left="360" w:hanging="360"/>
      </w:pPr>
      <w:r>
        <w:rPr>
          <w:rFonts w:ascii="Calibri" w:cs="Calibri" w:eastAsia="Calibri" w:hAnsi="Calibri"/>
          <w:color w:val="1A2E33"/>
          <w:sz w:val="20"/>
          <w:szCs w:val="20"/>
        </w:rPr>
        <w:t xml:space="preserve">12.	</w:t>
      </w:r>
      <w:r>
        <w:rPr>
          <w:rFonts w:ascii="Calibri" w:cs="Calibri" w:eastAsia="Calibri" w:hAnsi="Calibri"/>
          <w:b w:val="false"/>
          <w:bCs w:val="false"/>
          <w:i w:val="false"/>
          <w:iCs w:val="false"/>
          <w:color w:val="1A2E33"/>
          <w:sz w:val="20"/>
          <w:szCs w:val="20"/>
        </w:rPr>
        <w:t xml:space="preserve">LaMonte MJ, Barlow CE, Jurca R, Kampert JB, Church TS, Blair SN. </w:t>
      </w:r>
      <w:r>
        <w:rPr>
          <w:rFonts w:ascii="Calibri" w:cs="Calibri" w:eastAsia="Calibri" w:hAnsi="Calibri"/>
          <w:b w:val="false"/>
          <w:bCs w:val="false"/>
          <w:i/>
          <w:iCs/>
          <w:color w:val="1A2E33"/>
          <w:sz w:val="20"/>
          <w:szCs w:val="20"/>
        </w:rPr>
        <w:t xml:space="preserve">Cardiorespiratory fitness is inversely associated with the incidence of metabolic syndrome. </w:t>
      </w:r>
      <w:r>
        <w:rPr>
          <w:rFonts w:ascii="Calibri" w:cs="Calibri" w:eastAsia="Calibri" w:hAnsi="Calibri"/>
          <w:b w:val="false"/>
          <w:bCs w:val="false"/>
          <w:i w:val="false"/>
          <w:iCs w:val="false"/>
          <w:color w:val="1A2E33"/>
          <w:sz w:val="20"/>
          <w:szCs w:val="20"/>
        </w:rPr>
        <w:t xml:space="preserve">Circulation. 2005;112(4):505–512.</w:t>
      </w:r>
    </w:p>
    <w:p>
      <w:pPr>
        <w:spacing w:after="100" w:line="264"/>
        <w:ind w:left="360" w:hanging="360"/>
      </w:pPr>
      <w:r>
        <w:rPr>
          <w:rFonts w:ascii="Calibri" w:cs="Calibri" w:eastAsia="Calibri" w:hAnsi="Calibri"/>
          <w:color w:val="1A2E33"/>
          <w:sz w:val="20"/>
          <w:szCs w:val="20"/>
        </w:rPr>
        <w:t xml:space="preserve">13.	</w:t>
      </w:r>
      <w:r>
        <w:rPr>
          <w:rFonts w:ascii="Calibri" w:cs="Calibri" w:eastAsia="Calibri" w:hAnsi="Calibri"/>
          <w:b w:val="false"/>
          <w:bCs w:val="false"/>
          <w:i w:val="false"/>
          <w:iCs w:val="false"/>
          <w:color w:val="1A2E33"/>
          <w:sz w:val="20"/>
          <w:szCs w:val="20"/>
        </w:rPr>
        <w:t xml:space="preserve">Blair SN, Kohl HW III, Barlow CE, Paffenbarger RS Jr, Gibbons LW, Macera CA. </w:t>
      </w:r>
      <w:r>
        <w:rPr>
          <w:rFonts w:ascii="Calibri" w:cs="Calibri" w:eastAsia="Calibri" w:hAnsi="Calibri"/>
          <w:b w:val="false"/>
          <w:bCs w:val="false"/>
          <w:i/>
          <w:iCs/>
          <w:color w:val="1A2E33"/>
          <w:sz w:val="20"/>
          <w:szCs w:val="20"/>
        </w:rPr>
        <w:t xml:space="preserve">Changes in physical fitness and all-cause mortality: a prospective study of healthy and unhealthy men. </w:t>
      </w:r>
      <w:r>
        <w:rPr>
          <w:rFonts w:ascii="Calibri" w:cs="Calibri" w:eastAsia="Calibri" w:hAnsi="Calibri"/>
          <w:b w:val="false"/>
          <w:bCs w:val="false"/>
          <w:i w:val="false"/>
          <w:iCs w:val="false"/>
          <w:color w:val="1A2E33"/>
          <w:sz w:val="20"/>
          <w:szCs w:val="20"/>
        </w:rPr>
        <w:t xml:space="preserve">JAMA. 1995;273(14):1093–1098.  [Exact CIs to be confirmed.]</w:t>
      </w:r>
    </w:p>
    <w:p>
      <w:pPr>
        <w:spacing w:after="100" w:line="264"/>
        <w:ind w:left="360" w:hanging="360"/>
      </w:pPr>
      <w:r>
        <w:rPr>
          <w:rFonts w:ascii="Calibri" w:cs="Calibri" w:eastAsia="Calibri" w:hAnsi="Calibri"/>
          <w:color w:val="1A2E33"/>
          <w:sz w:val="20"/>
          <w:szCs w:val="20"/>
        </w:rPr>
        <w:t xml:space="preserve">14.	</w:t>
      </w:r>
      <w:r>
        <w:rPr>
          <w:rFonts w:ascii="Calibri" w:cs="Calibri" w:eastAsia="Calibri" w:hAnsi="Calibri"/>
          <w:b w:val="false"/>
          <w:bCs w:val="false"/>
          <w:i w:val="false"/>
          <w:iCs w:val="false"/>
          <w:color w:val="1A2E33"/>
          <w:sz w:val="20"/>
          <w:szCs w:val="20"/>
        </w:rPr>
        <w:t xml:space="preserve">Erikssen G, Liestøl K, Bjørnholt J, Thaulow E, Sandvik L, Erikssen J. </w:t>
      </w:r>
      <w:r>
        <w:rPr>
          <w:rFonts w:ascii="Calibri" w:cs="Calibri" w:eastAsia="Calibri" w:hAnsi="Calibri"/>
          <w:b w:val="false"/>
          <w:bCs w:val="false"/>
          <w:i/>
          <w:iCs/>
          <w:color w:val="1A2E33"/>
          <w:sz w:val="20"/>
          <w:szCs w:val="20"/>
        </w:rPr>
        <w:t xml:space="preserve">Changes in physical fitness and changes in mortality. </w:t>
      </w:r>
      <w:r>
        <w:rPr>
          <w:rFonts w:ascii="Calibri" w:cs="Calibri" w:eastAsia="Calibri" w:hAnsi="Calibri"/>
          <w:b w:val="false"/>
          <w:bCs w:val="false"/>
          <w:i w:val="false"/>
          <w:iCs w:val="false"/>
          <w:color w:val="1A2E33"/>
          <w:sz w:val="20"/>
          <w:szCs w:val="20"/>
        </w:rPr>
        <w:t xml:space="preserve">Lancet. 1998;352(9130):759–762.  [Quartile figures to be confirmed.]</w:t>
      </w:r>
    </w:p>
    <w:p>
      <w:pPr>
        <w:spacing w:after="100" w:line="264"/>
        <w:ind w:left="360" w:hanging="360"/>
      </w:pPr>
      <w:r>
        <w:rPr>
          <w:rFonts w:ascii="Calibri" w:cs="Calibri" w:eastAsia="Calibri" w:hAnsi="Calibri"/>
          <w:color w:val="1A2E33"/>
          <w:sz w:val="20"/>
          <w:szCs w:val="20"/>
        </w:rPr>
        <w:t xml:space="preserve">15.	</w:t>
      </w:r>
      <w:r>
        <w:rPr>
          <w:rFonts w:ascii="Calibri" w:cs="Calibri" w:eastAsia="Calibri" w:hAnsi="Calibri"/>
          <w:b w:val="false"/>
          <w:bCs w:val="false"/>
          <w:i w:val="false"/>
          <w:iCs w:val="false"/>
          <w:color w:val="1A2E33"/>
          <w:sz w:val="20"/>
          <w:szCs w:val="20"/>
        </w:rPr>
        <w:t xml:space="preserve">Batacan RB Jr, Duncan MJ, Dalbo VJ, Tucker PS, Fenning AS. </w:t>
      </w:r>
      <w:r>
        <w:rPr>
          <w:rFonts w:ascii="Calibri" w:cs="Calibri" w:eastAsia="Calibri" w:hAnsi="Calibri"/>
          <w:b w:val="false"/>
          <w:bCs w:val="false"/>
          <w:i/>
          <w:iCs/>
          <w:color w:val="1A2E33"/>
          <w:sz w:val="20"/>
          <w:szCs w:val="20"/>
        </w:rPr>
        <w:t xml:space="preserve">Effects of high-intensity interval training on cardiometabolic health: a systematic review and meta-analysis of intervention studies. </w:t>
      </w:r>
      <w:r>
        <w:rPr>
          <w:rFonts w:ascii="Calibri" w:cs="Calibri" w:eastAsia="Calibri" w:hAnsi="Calibri"/>
          <w:b w:val="false"/>
          <w:bCs w:val="false"/>
          <w:i w:val="false"/>
          <w:iCs w:val="false"/>
          <w:color w:val="1A2E33"/>
          <w:sz w:val="20"/>
          <w:szCs w:val="20"/>
        </w:rPr>
        <w:t xml:space="preserve">British Journal of Sports Medicine. 2017;51(6):494–503. †</w:t>
      </w:r>
    </w:p>
    <w:p>
      <w:pPr>
        <w:spacing w:after="100" w:line="264"/>
        <w:ind w:left="360" w:hanging="360"/>
      </w:pPr>
      <w:r>
        <w:rPr>
          <w:rFonts w:ascii="Calibri" w:cs="Calibri" w:eastAsia="Calibri" w:hAnsi="Calibri"/>
          <w:color w:val="1A2E33"/>
          <w:sz w:val="20"/>
          <w:szCs w:val="20"/>
        </w:rPr>
        <w:t xml:space="preserve">16.	</w:t>
      </w:r>
      <w:r>
        <w:rPr>
          <w:rFonts w:ascii="Calibri" w:cs="Calibri" w:eastAsia="Calibri" w:hAnsi="Calibri"/>
          <w:b w:val="false"/>
          <w:bCs w:val="false"/>
          <w:i w:val="false"/>
          <w:iCs w:val="false"/>
          <w:color w:val="1A2E33"/>
          <w:sz w:val="20"/>
          <w:szCs w:val="20"/>
        </w:rPr>
        <w:t xml:space="preserve">Myers J, Kaminsky LA, Lima R, Christle JW, Ashley E, Arena R. </w:t>
      </w:r>
      <w:r>
        <w:rPr>
          <w:rFonts w:ascii="Calibri" w:cs="Calibri" w:eastAsia="Calibri" w:hAnsi="Calibri"/>
          <w:b w:val="false"/>
          <w:bCs w:val="false"/>
          <w:i/>
          <w:iCs/>
          <w:color w:val="1A2E33"/>
          <w:sz w:val="20"/>
          <w:szCs w:val="20"/>
        </w:rPr>
        <w:t xml:space="preserve">A reference equation for normal standards for VO₂ max: analysis from the Fitness Registry and the Importance of Exercise National Database (FRIEND Registry). </w:t>
      </w:r>
      <w:r>
        <w:rPr>
          <w:rFonts w:ascii="Calibri" w:cs="Calibri" w:eastAsia="Calibri" w:hAnsi="Calibri"/>
          <w:b w:val="false"/>
          <w:bCs w:val="false"/>
          <w:i w:val="false"/>
          <w:iCs w:val="false"/>
          <w:color w:val="1A2E33"/>
          <w:sz w:val="20"/>
          <w:szCs w:val="20"/>
        </w:rPr>
        <w:t xml:space="preserve">Progress in Cardiovascular Diseases. 2017;60(1):21–29. †</w:t>
      </w:r>
    </w:p>
    <w:p>
      <w:pPr>
        <w:spacing w:after="100" w:line="264"/>
        <w:ind w:left="360" w:hanging="360"/>
      </w:pPr>
      <w:r>
        <w:rPr>
          <w:rFonts w:ascii="Calibri" w:cs="Calibri" w:eastAsia="Calibri" w:hAnsi="Calibri"/>
          <w:color w:val="1A2E33"/>
          <w:sz w:val="20"/>
          <w:szCs w:val="20"/>
        </w:rPr>
        <w:t xml:space="preserve">17.	</w:t>
      </w:r>
      <w:r>
        <w:rPr>
          <w:rFonts w:ascii="Calibri" w:cs="Calibri" w:eastAsia="Calibri" w:hAnsi="Calibri"/>
          <w:b w:val="false"/>
          <w:bCs w:val="false"/>
          <w:i w:val="false"/>
          <w:iCs w:val="false"/>
          <w:color w:val="1A2E33"/>
          <w:sz w:val="20"/>
          <w:szCs w:val="20"/>
        </w:rPr>
        <w:t xml:space="preserve">Jackson AS, Blair SN, Mahar MT, Wier LT, Ross RM, Stuteville JE. </w:t>
      </w:r>
      <w:r>
        <w:rPr>
          <w:rFonts w:ascii="Calibri" w:cs="Calibri" w:eastAsia="Calibri" w:hAnsi="Calibri"/>
          <w:b w:val="false"/>
          <w:bCs w:val="false"/>
          <w:i/>
          <w:iCs/>
          <w:color w:val="1A2E33"/>
          <w:sz w:val="20"/>
          <w:szCs w:val="20"/>
        </w:rPr>
        <w:t xml:space="preserve">Prediction of functional aerobic capacity without exercise testing. </w:t>
      </w:r>
      <w:r>
        <w:rPr>
          <w:rFonts w:ascii="Calibri" w:cs="Calibri" w:eastAsia="Calibri" w:hAnsi="Calibri"/>
          <w:b w:val="false"/>
          <w:bCs w:val="false"/>
          <w:i w:val="false"/>
          <w:iCs w:val="false"/>
          <w:color w:val="1A2E33"/>
          <w:sz w:val="20"/>
          <w:szCs w:val="20"/>
        </w:rPr>
        <w:t xml:space="preserve">Medicine &amp; Science in Sports &amp; Exercise. 1990;22(6):863–870.</w:t>
      </w:r>
    </w:p>
    <w:p>
      <w:pPr>
        <w:spacing w:after="100" w:line="264"/>
        <w:ind w:left="360" w:hanging="360"/>
      </w:pPr>
      <w:r>
        <w:rPr>
          <w:rFonts w:ascii="Calibri" w:cs="Calibri" w:eastAsia="Calibri" w:hAnsi="Calibri"/>
          <w:color w:val="1A2E33"/>
          <w:sz w:val="20"/>
          <w:szCs w:val="20"/>
        </w:rPr>
        <w:t xml:space="preserve">18.	</w:t>
      </w:r>
      <w:r>
        <w:rPr>
          <w:rFonts w:ascii="Calibri" w:cs="Calibri" w:eastAsia="Calibri" w:hAnsi="Calibri"/>
          <w:b w:val="false"/>
          <w:bCs w:val="false"/>
          <w:i w:val="false"/>
          <w:iCs w:val="false"/>
          <w:color w:val="1A2E33"/>
          <w:sz w:val="20"/>
          <w:szCs w:val="20"/>
        </w:rPr>
        <w:t xml:space="preserve">Stegle O, Fallert SV, MacKay DJC, Brage S. </w:t>
      </w:r>
      <w:r>
        <w:rPr>
          <w:rFonts w:ascii="Calibri" w:cs="Calibri" w:eastAsia="Calibri" w:hAnsi="Calibri"/>
          <w:b w:val="false"/>
          <w:bCs w:val="false"/>
          <w:i/>
          <w:iCs/>
          <w:color w:val="1A2E33"/>
          <w:sz w:val="20"/>
          <w:szCs w:val="20"/>
        </w:rPr>
        <w:t xml:space="preserve">Gaussian process robust regression for noisy heart rate data. </w:t>
      </w:r>
      <w:r>
        <w:rPr>
          <w:rFonts w:ascii="Calibri" w:cs="Calibri" w:eastAsia="Calibri" w:hAnsi="Calibri"/>
          <w:b w:val="false"/>
          <w:bCs w:val="false"/>
          <w:i w:val="false"/>
          <w:iCs w:val="false"/>
          <w:color w:val="1A2E33"/>
          <w:sz w:val="20"/>
          <w:szCs w:val="20"/>
        </w:rPr>
        <w:t xml:space="preserve">IEEE Transactions on Biomedical Engineering. 2008;55(9):2143–2151.</w:t>
      </w:r>
    </w:p>
    <w:p>
      <w:pPr>
        <w:spacing w:after="100" w:line="264"/>
        <w:ind w:left="360" w:hanging="360"/>
      </w:pPr>
      <w:r>
        <w:rPr>
          <w:rFonts w:ascii="Calibri" w:cs="Calibri" w:eastAsia="Calibri" w:hAnsi="Calibri"/>
          <w:color w:val="1A2E33"/>
          <w:sz w:val="20"/>
          <w:szCs w:val="20"/>
        </w:rPr>
        <w:t xml:space="preserve">19.	</w:t>
      </w:r>
      <w:r>
        <w:rPr>
          <w:rFonts w:ascii="Calibri" w:cs="Calibri" w:eastAsia="Calibri" w:hAnsi="Calibri"/>
          <w:b w:val="false"/>
          <w:bCs w:val="false"/>
          <w:i w:val="false"/>
          <w:iCs w:val="false"/>
          <w:color w:val="1A2E33"/>
          <w:sz w:val="20"/>
          <w:szCs w:val="20"/>
        </w:rPr>
        <w:t xml:space="preserve">Abbaspourazad S, Elachqar O, Miller AC, et al. </w:t>
      </w:r>
      <w:r>
        <w:rPr>
          <w:rFonts w:ascii="Calibri" w:cs="Calibri" w:eastAsia="Calibri" w:hAnsi="Calibri"/>
          <w:b w:val="false"/>
          <w:bCs w:val="false"/>
          <w:i/>
          <w:iCs/>
          <w:color w:val="1A2E33"/>
          <w:sz w:val="20"/>
          <w:szCs w:val="20"/>
        </w:rPr>
        <w:t xml:space="preserve">Large-scale training of foundation models for wearable biosignals. </w:t>
      </w:r>
      <w:r>
        <w:rPr>
          <w:rFonts w:ascii="Calibri" w:cs="Calibri" w:eastAsia="Calibri" w:hAnsi="Calibri"/>
          <w:b w:val="false"/>
          <w:bCs w:val="false"/>
          <w:i w:val="false"/>
          <w:iCs w:val="false"/>
          <w:color w:val="1A2E33"/>
          <w:sz w:val="20"/>
          <w:szCs w:val="20"/>
        </w:rPr>
        <w:t xml:space="preserve">International Conference on Learning Representations (ICLR) 2024. arXiv:2312.05409.</w:t>
      </w:r>
    </w:p>
    <w:p>
      <w:pPr>
        <w:spacing w:after="100" w:line="264"/>
        <w:ind w:left="360" w:hanging="360"/>
      </w:pPr>
      <w:r>
        <w:rPr>
          <w:rFonts w:ascii="Calibri" w:cs="Calibri" w:eastAsia="Calibri" w:hAnsi="Calibri"/>
          <w:color w:val="1A2E33"/>
          <w:sz w:val="20"/>
          <w:szCs w:val="20"/>
        </w:rPr>
        <w:t xml:space="preserve">20.	</w:t>
      </w:r>
      <w:r>
        <w:rPr>
          <w:rFonts w:ascii="Calibri" w:cs="Calibri" w:eastAsia="Calibri" w:hAnsi="Calibri"/>
          <w:b w:val="false"/>
          <w:bCs w:val="false"/>
          <w:i w:val="false"/>
          <w:iCs w:val="false"/>
          <w:color w:val="1A2E33"/>
          <w:sz w:val="20"/>
          <w:szCs w:val="20"/>
        </w:rPr>
        <w:t xml:space="preserve">Katzman JL, Shaham U, Cloninger A, Bates J, Jiang T, Kluger Y. </w:t>
      </w:r>
      <w:r>
        <w:rPr>
          <w:rFonts w:ascii="Calibri" w:cs="Calibri" w:eastAsia="Calibri" w:hAnsi="Calibri"/>
          <w:b w:val="false"/>
          <w:bCs w:val="false"/>
          <w:i/>
          <w:iCs/>
          <w:color w:val="1A2E33"/>
          <w:sz w:val="20"/>
          <w:szCs w:val="20"/>
        </w:rPr>
        <w:t xml:space="preserve">DeepSurv: personalized treatment recommender system using a Cox proportional hazards deep neural network. </w:t>
      </w:r>
      <w:r>
        <w:rPr>
          <w:rFonts w:ascii="Calibri" w:cs="Calibri" w:eastAsia="Calibri" w:hAnsi="Calibri"/>
          <w:b w:val="false"/>
          <w:bCs w:val="false"/>
          <w:i w:val="false"/>
          <w:iCs w:val="false"/>
          <w:color w:val="1A2E33"/>
          <w:sz w:val="20"/>
          <w:szCs w:val="20"/>
        </w:rPr>
        <w:t xml:space="preserve">BMC Medical Research Methodology. 2018;18:24.</w:t>
      </w:r>
    </w:p>
    <w:p>
      <w:pPr>
        <w:spacing w:after="100" w:line="264"/>
        <w:ind w:left="360" w:hanging="360"/>
      </w:pPr>
      <w:r>
        <w:rPr>
          <w:rFonts w:ascii="Calibri" w:cs="Calibri" w:eastAsia="Calibri" w:hAnsi="Calibri"/>
          <w:color w:val="1A2E33"/>
          <w:sz w:val="20"/>
          <w:szCs w:val="20"/>
        </w:rPr>
        <w:t xml:space="preserve">21.	</w:t>
      </w:r>
      <w:r>
        <w:rPr>
          <w:rFonts w:ascii="Calibri" w:cs="Calibri" w:eastAsia="Calibri" w:hAnsi="Calibri"/>
          <w:b w:val="false"/>
          <w:bCs w:val="false"/>
          <w:i w:val="false"/>
          <w:iCs w:val="false"/>
          <w:color w:val="1A2E33"/>
          <w:sz w:val="20"/>
          <w:szCs w:val="20"/>
        </w:rPr>
        <w:t xml:space="preserve">Ishwaran H, Kogalur UB, Blackstone EH, Lauer MS. </w:t>
      </w:r>
      <w:r>
        <w:rPr>
          <w:rFonts w:ascii="Calibri" w:cs="Calibri" w:eastAsia="Calibri" w:hAnsi="Calibri"/>
          <w:b w:val="false"/>
          <w:bCs w:val="false"/>
          <w:i/>
          <w:iCs/>
          <w:color w:val="1A2E33"/>
          <w:sz w:val="20"/>
          <w:szCs w:val="20"/>
        </w:rPr>
        <w:t xml:space="preserve">Random survival forests. </w:t>
      </w:r>
      <w:r>
        <w:rPr>
          <w:rFonts w:ascii="Calibri" w:cs="Calibri" w:eastAsia="Calibri" w:hAnsi="Calibri"/>
          <w:b w:val="false"/>
          <w:bCs w:val="false"/>
          <w:i w:val="false"/>
          <w:iCs w:val="false"/>
          <w:color w:val="1A2E33"/>
          <w:sz w:val="20"/>
          <w:szCs w:val="20"/>
        </w:rPr>
        <w:t xml:space="preserve">Annals of Applied Statistics. 2008;2(3):841–860.</w:t>
      </w:r>
    </w:p>
    <w:p>
      <w:pPr>
        <w:spacing w:after="100" w:line="264"/>
        <w:ind w:left="360" w:hanging="360"/>
      </w:pPr>
      <w:r>
        <w:rPr>
          <w:rFonts w:ascii="Calibri" w:cs="Calibri" w:eastAsia="Calibri" w:hAnsi="Calibri"/>
          <w:color w:val="1A2E33"/>
          <w:sz w:val="20"/>
          <w:szCs w:val="20"/>
        </w:rPr>
        <w:t xml:space="preserve">22.	</w:t>
      </w:r>
      <w:r>
        <w:rPr>
          <w:rFonts w:ascii="Calibri" w:cs="Calibri" w:eastAsia="Calibri" w:hAnsi="Calibri"/>
          <w:b w:val="false"/>
          <w:bCs w:val="false"/>
          <w:i w:val="false"/>
          <w:iCs w:val="false"/>
          <w:color w:val="1A2E33"/>
          <w:sz w:val="20"/>
          <w:szCs w:val="20"/>
        </w:rPr>
        <w:t xml:space="preserve">Liao P, Klasnja P, Murphy S. </w:t>
      </w:r>
      <w:r>
        <w:rPr>
          <w:rFonts w:ascii="Calibri" w:cs="Calibri" w:eastAsia="Calibri" w:hAnsi="Calibri"/>
          <w:b w:val="false"/>
          <w:bCs w:val="false"/>
          <w:i/>
          <w:iCs/>
          <w:color w:val="1A2E33"/>
          <w:sz w:val="20"/>
          <w:szCs w:val="20"/>
        </w:rPr>
        <w:t xml:space="preserve">Off-policy estimation of long-term average outcomes with applications to mobile health (HeartSteps). </w:t>
      </w:r>
      <w:r>
        <w:rPr>
          <w:rFonts w:ascii="Calibri" w:cs="Calibri" w:eastAsia="Calibri" w:hAnsi="Calibri"/>
          <w:b w:val="false"/>
          <w:bCs w:val="false"/>
          <w:i w:val="false"/>
          <w:iCs w:val="false"/>
          <w:color w:val="1A2E33"/>
          <w:sz w:val="20"/>
          <w:szCs w:val="20"/>
        </w:rPr>
        <w:t xml:space="preserve">Journal of the American Statistical Association. 2021;116(533):382–391.</w:t>
      </w:r>
    </w:p>
    <w:p>
      <w:pPr>
        <w:spacing w:after="100" w:line="264"/>
        <w:ind w:left="360" w:hanging="360"/>
      </w:pPr>
      <w:r>
        <w:rPr>
          <w:rFonts w:ascii="Calibri" w:cs="Calibri" w:eastAsia="Calibri" w:hAnsi="Calibri"/>
          <w:color w:val="1A2E33"/>
          <w:sz w:val="20"/>
          <w:szCs w:val="20"/>
        </w:rPr>
        <w:t xml:space="preserve">23.	</w:t>
      </w:r>
      <w:r>
        <w:rPr>
          <w:rFonts w:ascii="Calibri" w:cs="Calibri" w:eastAsia="Calibri" w:hAnsi="Calibri"/>
          <w:b w:val="false"/>
          <w:bCs w:val="false"/>
          <w:i w:val="false"/>
          <w:iCs w:val="false"/>
          <w:color w:val="1A2E33"/>
          <w:sz w:val="20"/>
          <w:szCs w:val="20"/>
        </w:rPr>
        <w:t xml:space="preserve">Spathis D, Perez-Pozuelo I, Gonzales TI, et al. </w:t>
      </w:r>
      <w:r>
        <w:rPr>
          <w:rFonts w:ascii="Calibri" w:cs="Calibri" w:eastAsia="Calibri" w:hAnsi="Calibri"/>
          <w:b w:val="false"/>
          <w:bCs w:val="false"/>
          <w:i/>
          <w:iCs/>
          <w:color w:val="1A2E33"/>
          <w:sz w:val="20"/>
          <w:szCs w:val="20"/>
        </w:rPr>
        <w:t xml:space="preserve">Longitudinal cardio-respiratory fitness prediction through wearables in free-living environments. </w:t>
      </w:r>
      <w:r>
        <w:rPr>
          <w:rFonts w:ascii="Calibri" w:cs="Calibri" w:eastAsia="Calibri" w:hAnsi="Calibri"/>
          <w:b w:val="false"/>
          <w:bCs w:val="false"/>
          <w:i w:val="false"/>
          <w:iCs w:val="false"/>
          <w:color w:val="1A2E33"/>
          <w:sz w:val="20"/>
          <w:szCs w:val="20"/>
        </w:rPr>
        <w:t xml:space="preserve">npj Digital Medicine. 2022;5:176.</w:t>
      </w:r>
    </w:p>
    <w:p>
      <w:pPr>
        <w:spacing w:after="100" w:line="264"/>
        <w:ind w:left="360" w:hanging="360"/>
      </w:pPr>
      <w:r>
        <w:rPr>
          <w:rFonts w:ascii="Calibri" w:cs="Calibri" w:eastAsia="Calibri" w:hAnsi="Calibri"/>
          <w:color w:val="1A2E33"/>
          <w:sz w:val="20"/>
          <w:szCs w:val="20"/>
        </w:rPr>
        <w:t xml:space="preserve">24.	</w:t>
      </w:r>
      <w:r>
        <w:rPr>
          <w:rFonts w:ascii="Calibri" w:cs="Calibri" w:eastAsia="Calibri" w:hAnsi="Calibri"/>
          <w:b w:val="false"/>
          <w:bCs w:val="false"/>
          <w:i w:val="false"/>
          <w:iCs w:val="false"/>
          <w:color w:val="1A2E33"/>
          <w:sz w:val="20"/>
          <w:szCs w:val="20"/>
        </w:rPr>
        <w:t xml:space="preserve">Knowler WC, Barrett-Connor E, Fowler SE, et al.; Diabetes Prevention Program Research Group. </w:t>
      </w:r>
      <w:r>
        <w:rPr>
          <w:rFonts w:ascii="Calibri" w:cs="Calibri" w:eastAsia="Calibri" w:hAnsi="Calibri"/>
          <w:b w:val="false"/>
          <w:bCs w:val="false"/>
          <w:i/>
          <w:iCs/>
          <w:color w:val="1A2E33"/>
          <w:sz w:val="20"/>
          <w:szCs w:val="20"/>
        </w:rPr>
        <w:t xml:space="preserve">Reduction in the incidence of type 2 diabetes with lifestyle intervention or metformin. </w:t>
      </w:r>
      <w:r>
        <w:rPr>
          <w:rFonts w:ascii="Calibri" w:cs="Calibri" w:eastAsia="Calibri" w:hAnsi="Calibri"/>
          <w:b w:val="false"/>
          <w:bCs w:val="false"/>
          <w:i w:val="false"/>
          <w:iCs w:val="false"/>
          <w:color w:val="1A2E33"/>
          <w:sz w:val="20"/>
          <w:szCs w:val="20"/>
        </w:rPr>
        <w:t xml:space="preserve">New England Journal of Medicine. 2002;346(6):393–403.</w:t>
      </w:r>
    </w:p>
    <w:p>
      <w:pPr>
        <w:spacing w:after="100" w:line="264"/>
        <w:ind w:left="360" w:hanging="360"/>
      </w:pPr>
      <w:r>
        <w:rPr>
          <w:rFonts w:ascii="Calibri" w:cs="Calibri" w:eastAsia="Calibri" w:hAnsi="Calibri"/>
          <w:color w:val="1A2E33"/>
          <w:sz w:val="20"/>
          <w:szCs w:val="20"/>
        </w:rPr>
        <w:t xml:space="preserve">25.	</w:t>
      </w:r>
      <w:r>
        <w:rPr>
          <w:rFonts w:ascii="Calibri" w:cs="Calibri" w:eastAsia="Calibri" w:hAnsi="Calibri"/>
          <w:b w:val="false"/>
          <w:bCs w:val="false"/>
          <w:i w:val="false"/>
          <w:iCs w:val="false"/>
          <w:color w:val="1A2E33"/>
          <w:sz w:val="20"/>
          <w:szCs w:val="20"/>
        </w:rPr>
        <w:t xml:space="preserve">Wing RR, Bolin P, Brancati FL, et al.; Look AHEAD Research Group. </w:t>
      </w:r>
      <w:r>
        <w:rPr>
          <w:rFonts w:ascii="Calibri" w:cs="Calibri" w:eastAsia="Calibri" w:hAnsi="Calibri"/>
          <w:b w:val="false"/>
          <w:bCs w:val="false"/>
          <w:i/>
          <w:iCs/>
          <w:color w:val="1A2E33"/>
          <w:sz w:val="20"/>
          <w:szCs w:val="20"/>
        </w:rPr>
        <w:t xml:space="preserve">Cardiovascular effects of intensive lifestyle intervention in type 2 diabetes. </w:t>
      </w:r>
      <w:r>
        <w:rPr>
          <w:rFonts w:ascii="Calibri" w:cs="Calibri" w:eastAsia="Calibri" w:hAnsi="Calibri"/>
          <w:b w:val="false"/>
          <w:bCs w:val="false"/>
          <w:i w:val="false"/>
          <w:iCs w:val="false"/>
          <w:color w:val="1A2E33"/>
          <w:sz w:val="20"/>
          <w:szCs w:val="20"/>
        </w:rPr>
        <w:t xml:space="preserve">New England Journal of Medicine. 2013;369(2):145–154.</w:t>
      </w:r>
    </w:p>
    <w:p>
      <w:pPr>
        <w:spacing w:after="100" w:line="264"/>
        <w:ind w:left="360" w:hanging="360"/>
      </w:pPr>
      <w:r>
        <w:rPr>
          <w:rFonts w:ascii="Calibri" w:cs="Calibri" w:eastAsia="Calibri" w:hAnsi="Calibri"/>
          <w:color w:val="1A2E33"/>
          <w:sz w:val="20"/>
          <w:szCs w:val="20"/>
        </w:rPr>
        <w:t xml:space="preserve">26.	</w:t>
      </w:r>
      <w:r>
        <w:rPr>
          <w:rFonts w:ascii="Calibri" w:cs="Calibri" w:eastAsia="Calibri" w:hAnsi="Calibri"/>
          <w:b w:val="false"/>
          <w:bCs w:val="false"/>
          <w:i w:val="false"/>
          <w:iCs w:val="false"/>
          <w:color w:val="1A2E33"/>
          <w:sz w:val="20"/>
          <w:szCs w:val="20"/>
        </w:rPr>
        <w:t xml:space="preserve">Church TS, Blair SN, Cocreham S, et al. </w:t>
      </w:r>
      <w:r>
        <w:rPr>
          <w:rFonts w:ascii="Calibri" w:cs="Calibri" w:eastAsia="Calibri" w:hAnsi="Calibri"/>
          <w:b w:val="false"/>
          <w:bCs w:val="false"/>
          <w:i/>
          <w:iCs/>
          <w:color w:val="1A2E33"/>
          <w:sz w:val="20"/>
          <w:szCs w:val="20"/>
        </w:rPr>
        <w:t xml:space="preserve">Effects of aerobic and resistance training on hemoglobin A1c levels in patients with type 2 diabetes: a randomized controlled trial. </w:t>
      </w:r>
      <w:r>
        <w:rPr>
          <w:rFonts w:ascii="Calibri" w:cs="Calibri" w:eastAsia="Calibri" w:hAnsi="Calibri"/>
          <w:b w:val="false"/>
          <w:bCs w:val="false"/>
          <w:i w:val="false"/>
          <w:iCs w:val="false"/>
          <w:color w:val="1A2E33"/>
          <w:sz w:val="20"/>
          <w:szCs w:val="20"/>
        </w:rPr>
        <w:t xml:space="preserve">JAMA. 2010;304(20):2253–2262.</w:t>
      </w:r>
    </w:p>
    <w:p>
      <w:pPr>
        <w:spacing w:after="100" w:line="264"/>
        <w:ind w:left="360" w:hanging="360"/>
      </w:pPr>
      <w:r>
        <w:rPr>
          <w:rFonts w:ascii="Calibri" w:cs="Calibri" w:eastAsia="Calibri" w:hAnsi="Calibri"/>
          <w:color w:val="1A2E33"/>
          <w:sz w:val="20"/>
          <w:szCs w:val="20"/>
        </w:rPr>
        <w:t xml:space="preserve">27.	</w:t>
      </w:r>
      <w:r>
        <w:rPr>
          <w:rFonts w:ascii="Calibri" w:cs="Calibri" w:eastAsia="Calibri" w:hAnsi="Calibri"/>
          <w:b w:val="false"/>
          <w:bCs w:val="false"/>
          <w:i w:val="false"/>
          <w:iCs w:val="false"/>
          <w:color w:val="1A2E33"/>
          <w:sz w:val="20"/>
          <w:szCs w:val="20"/>
        </w:rPr>
        <w:t xml:space="preserve">Umpierre D, Ribeiro PA, Kramer CK, et al. </w:t>
      </w:r>
      <w:r>
        <w:rPr>
          <w:rFonts w:ascii="Calibri" w:cs="Calibri" w:eastAsia="Calibri" w:hAnsi="Calibri"/>
          <w:b w:val="false"/>
          <w:bCs w:val="false"/>
          <w:i/>
          <w:iCs/>
          <w:color w:val="1A2E33"/>
          <w:sz w:val="20"/>
          <w:szCs w:val="20"/>
        </w:rPr>
        <w:t xml:space="preserve">Physical activity advice only or structured exercise training and association with HbA1c levels in type 2 diabetes: a systematic review and meta-analysis. </w:t>
      </w:r>
      <w:r>
        <w:rPr>
          <w:rFonts w:ascii="Calibri" w:cs="Calibri" w:eastAsia="Calibri" w:hAnsi="Calibri"/>
          <w:b w:val="false"/>
          <w:bCs w:val="false"/>
          <w:i w:val="false"/>
          <w:iCs w:val="false"/>
          <w:color w:val="1A2E33"/>
          <w:sz w:val="20"/>
          <w:szCs w:val="20"/>
        </w:rPr>
        <w:t xml:space="preserve">JAMA. 2011;305(17):1790–1799.</w:t>
      </w:r>
    </w:p>
    <w:p>
      <w:pPr>
        <w:spacing w:after="100" w:line="264"/>
        <w:ind w:left="360" w:hanging="360"/>
      </w:pPr>
      <w:r>
        <w:rPr>
          <w:rFonts w:ascii="Calibri" w:cs="Calibri" w:eastAsia="Calibri" w:hAnsi="Calibri"/>
          <w:color w:val="1A2E33"/>
          <w:sz w:val="20"/>
          <w:szCs w:val="20"/>
        </w:rPr>
        <w:t xml:space="preserve">28.	</w:t>
      </w:r>
      <w:r>
        <w:rPr>
          <w:rFonts w:ascii="Calibri" w:cs="Calibri" w:eastAsia="Calibri" w:hAnsi="Calibri"/>
          <w:b w:val="false"/>
          <w:bCs w:val="false"/>
          <w:i w:val="false"/>
          <w:iCs w:val="false"/>
          <w:color w:val="1A2E33"/>
          <w:sz w:val="20"/>
          <w:szCs w:val="20"/>
        </w:rPr>
        <w:t xml:space="preserve">DiPietro L, Gribok A, Stevens MS, Hamm LF, Rumpler W. </w:t>
      </w:r>
      <w:r>
        <w:rPr>
          <w:rFonts w:ascii="Calibri" w:cs="Calibri" w:eastAsia="Calibri" w:hAnsi="Calibri"/>
          <w:b w:val="false"/>
          <w:bCs w:val="false"/>
          <w:i/>
          <w:iCs/>
          <w:color w:val="1A2E33"/>
          <w:sz w:val="20"/>
          <w:szCs w:val="20"/>
        </w:rPr>
        <w:t xml:space="preserve">Three 15-min bouts of moderate postmeal walking significantly improves 24-h glycemic control in older people at risk for impaired glucose tolerance. </w:t>
      </w:r>
      <w:r>
        <w:rPr>
          <w:rFonts w:ascii="Calibri" w:cs="Calibri" w:eastAsia="Calibri" w:hAnsi="Calibri"/>
          <w:b w:val="false"/>
          <w:bCs w:val="false"/>
          <w:i w:val="false"/>
          <w:iCs w:val="false"/>
          <w:color w:val="1A2E33"/>
          <w:sz w:val="20"/>
          <w:szCs w:val="20"/>
        </w:rPr>
        <w:t xml:space="preserve">Diabetes Care. 2013;36(10):3262–3268.</w:t>
      </w:r>
    </w:p>
    <w:p>
      <w:pPr>
        <w:spacing w:after="100" w:line="264"/>
        <w:ind w:left="360" w:hanging="360"/>
      </w:pPr>
      <w:r>
        <w:rPr>
          <w:rFonts w:ascii="Calibri" w:cs="Calibri" w:eastAsia="Calibri" w:hAnsi="Calibri"/>
          <w:color w:val="1A2E33"/>
          <w:sz w:val="20"/>
          <w:szCs w:val="20"/>
        </w:rPr>
        <w:t xml:space="preserve">29.	</w:t>
      </w:r>
      <w:r>
        <w:rPr>
          <w:rFonts w:ascii="Calibri" w:cs="Calibri" w:eastAsia="Calibri" w:hAnsi="Calibri"/>
          <w:b w:val="false"/>
          <w:bCs w:val="false"/>
          <w:i w:val="false"/>
          <w:iCs w:val="false"/>
          <w:color w:val="1A2E33"/>
          <w:sz w:val="20"/>
          <w:szCs w:val="20"/>
        </w:rPr>
        <w:t xml:space="preserve">Reynolds AN, Mann JI, Williams S, Venn BJ. </w:t>
      </w:r>
      <w:r>
        <w:rPr>
          <w:rFonts w:ascii="Calibri" w:cs="Calibri" w:eastAsia="Calibri" w:hAnsi="Calibri"/>
          <w:b w:val="false"/>
          <w:bCs w:val="false"/>
          <w:i/>
          <w:iCs/>
          <w:color w:val="1A2E33"/>
          <w:sz w:val="20"/>
          <w:szCs w:val="20"/>
        </w:rPr>
        <w:t xml:space="preserve">Advice to walk after meals is more effective for lowering postprandial glycaemia in type 2 diabetes mellitus than advice that does not specify timing: a randomised crossover study. </w:t>
      </w:r>
      <w:r>
        <w:rPr>
          <w:rFonts w:ascii="Calibri" w:cs="Calibri" w:eastAsia="Calibri" w:hAnsi="Calibri"/>
          <w:b w:val="false"/>
          <w:bCs w:val="false"/>
          <w:i w:val="false"/>
          <w:iCs w:val="false"/>
          <w:color w:val="1A2E33"/>
          <w:sz w:val="20"/>
          <w:szCs w:val="20"/>
        </w:rPr>
        <w:t xml:space="preserve">Diabetologia. 2016;59(12):2572–2578.</w:t>
      </w:r>
    </w:p>
    <w:p>
      <w:pPr>
        <w:spacing w:after="100" w:line="264"/>
        <w:ind w:left="360" w:hanging="360"/>
      </w:pPr>
      <w:r>
        <w:rPr>
          <w:rFonts w:ascii="Calibri" w:cs="Calibri" w:eastAsia="Calibri" w:hAnsi="Calibri"/>
          <w:color w:val="1A2E33"/>
          <w:sz w:val="20"/>
          <w:szCs w:val="20"/>
        </w:rPr>
        <w:t xml:space="preserve">30.	</w:t>
      </w:r>
      <w:r>
        <w:rPr>
          <w:rFonts w:ascii="Calibri" w:cs="Calibri" w:eastAsia="Calibri" w:hAnsi="Calibri"/>
          <w:b w:val="false"/>
          <w:bCs w:val="false"/>
          <w:i w:val="false"/>
          <w:iCs w:val="false"/>
          <w:color w:val="1A2E33"/>
          <w:sz w:val="20"/>
          <w:szCs w:val="20"/>
        </w:rPr>
        <w:t xml:space="preserve">Horvath SM, Raven PB, Dahms TE, Gray DJ. </w:t>
      </w:r>
      <w:r>
        <w:rPr>
          <w:rFonts w:ascii="Calibri" w:cs="Calibri" w:eastAsia="Calibri" w:hAnsi="Calibri"/>
          <w:b w:val="false"/>
          <w:bCs w:val="false"/>
          <w:i/>
          <w:iCs/>
          <w:color w:val="1A2E33"/>
          <w:sz w:val="20"/>
          <w:szCs w:val="20"/>
        </w:rPr>
        <w:t xml:space="preserve">Maximal aerobic capacity at different levels of carboxyhemoglobin. </w:t>
      </w:r>
      <w:r>
        <w:rPr>
          <w:rFonts w:ascii="Calibri" w:cs="Calibri" w:eastAsia="Calibri" w:hAnsi="Calibri"/>
          <w:b w:val="false"/>
          <w:bCs w:val="false"/>
          <w:i w:val="false"/>
          <w:iCs w:val="false"/>
          <w:color w:val="1A2E33"/>
          <w:sz w:val="20"/>
          <w:szCs w:val="20"/>
        </w:rPr>
        <w:t xml:space="preserve">Journal of Applied Physiology. 1975;38(2):300–303.</w:t>
      </w:r>
    </w:p>
    <w:p>
      <w:pPr>
        <w:spacing w:after="100" w:line="264"/>
        <w:ind w:left="360" w:hanging="360"/>
      </w:pPr>
      <w:r>
        <w:rPr>
          <w:rFonts w:ascii="Calibri" w:cs="Calibri" w:eastAsia="Calibri" w:hAnsi="Calibri"/>
          <w:color w:val="1A2E33"/>
          <w:sz w:val="20"/>
          <w:szCs w:val="20"/>
        </w:rPr>
        <w:t xml:space="preserve">31.	</w:t>
      </w:r>
      <w:r>
        <w:rPr>
          <w:rFonts w:ascii="Calibri" w:cs="Calibri" w:eastAsia="Calibri" w:hAnsi="Calibri"/>
          <w:b w:val="false"/>
          <w:bCs w:val="false"/>
          <w:i w:val="false"/>
          <w:iCs w:val="false"/>
          <w:color w:val="1A2E33"/>
          <w:sz w:val="20"/>
          <w:szCs w:val="20"/>
        </w:rPr>
        <w:t xml:space="preserve">Voskoboinik A, Prabhu S, Ling LH, Kalman JM, Kistler PM. </w:t>
      </w:r>
      <w:r>
        <w:rPr>
          <w:rFonts w:ascii="Calibri" w:cs="Calibri" w:eastAsia="Calibri" w:hAnsi="Calibri"/>
          <w:b w:val="false"/>
          <w:bCs w:val="false"/>
          <w:i/>
          <w:iCs/>
          <w:color w:val="1A2E33"/>
          <w:sz w:val="20"/>
          <w:szCs w:val="20"/>
        </w:rPr>
        <w:t xml:space="preserve">Alcohol and atrial fibrillation: a sobering review. </w:t>
      </w:r>
      <w:r>
        <w:rPr>
          <w:rFonts w:ascii="Calibri" w:cs="Calibri" w:eastAsia="Calibri" w:hAnsi="Calibri"/>
          <w:b w:val="false"/>
          <w:bCs w:val="false"/>
          <w:i w:val="false"/>
          <w:iCs w:val="false"/>
          <w:color w:val="1A2E33"/>
          <w:sz w:val="20"/>
          <w:szCs w:val="20"/>
        </w:rPr>
        <w:t xml:space="preserve">Journal of the American College of Cardiology. 2016;68(23):2567–2576.</w:t>
      </w:r>
    </w:p>
    <w:p>
      <w:pPr>
        <w:spacing w:after="100" w:line="264"/>
        <w:ind w:left="360" w:hanging="360"/>
      </w:pPr>
      <w:r>
        <w:rPr>
          <w:rFonts w:ascii="Calibri" w:cs="Calibri" w:eastAsia="Calibri" w:hAnsi="Calibri"/>
          <w:color w:val="1A2E33"/>
          <w:sz w:val="20"/>
          <w:szCs w:val="20"/>
        </w:rPr>
        <w:t xml:space="preserve">32.	</w:t>
      </w:r>
      <w:r>
        <w:rPr>
          <w:rFonts w:ascii="Calibri" w:cs="Calibri" w:eastAsia="Calibri" w:hAnsi="Calibri"/>
          <w:b w:val="false"/>
          <w:bCs w:val="false"/>
          <w:i w:val="false"/>
          <w:iCs w:val="false"/>
          <w:color w:val="1A2E33"/>
          <w:sz w:val="20"/>
          <w:szCs w:val="20"/>
        </w:rPr>
        <w:t xml:space="preserve">Parr EB, Camera DM, Areta JL, et al. </w:t>
      </w:r>
      <w:r>
        <w:rPr>
          <w:rFonts w:ascii="Calibri" w:cs="Calibri" w:eastAsia="Calibri" w:hAnsi="Calibri"/>
          <w:b w:val="false"/>
          <w:bCs w:val="false"/>
          <w:i/>
          <w:iCs/>
          <w:color w:val="1A2E33"/>
          <w:sz w:val="20"/>
          <w:szCs w:val="20"/>
        </w:rPr>
        <w:t xml:space="preserve">Alcohol ingestion impairs maximal post-exercise rates of myofibrillar protein synthesis following a single bout of concurrent training. </w:t>
      </w:r>
      <w:r>
        <w:rPr>
          <w:rFonts w:ascii="Calibri" w:cs="Calibri" w:eastAsia="Calibri" w:hAnsi="Calibri"/>
          <w:b w:val="false"/>
          <w:bCs w:val="false"/>
          <w:i w:val="false"/>
          <w:iCs w:val="false"/>
          <w:color w:val="1A2E33"/>
          <w:sz w:val="20"/>
          <w:szCs w:val="20"/>
        </w:rPr>
        <w:t xml:space="preserve">PLOS One. 2014;9(2):e88384.</w:t>
      </w:r>
    </w:p>
    <w:p>
      <w:pPr>
        <w:spacing w:after="100" w:line="264"/>
        <w:ind w:left="360" w:hanging="360"/>
      </w:pPr>
      <w:r>
        <w:rPr>
          <w:rFonts w:ascii="Calibri" w:cs="Calibri" w:eastAsia="Calibri" w:hAnsi="Calibri"/>
          <w:color w:val="1A2E33"/>
          <w:sz w:val="20"/>
          <w:szCs w:val="20"/>
        </w:rPr>
        <w:t xml:space="preserve">33.	</w:t>
      </w:r>
      <w:r>
        <w:rPr>
          <w:rFonts w:ascii="Calibri" w:cs="Calibri" w:eastAsia="Calibri" w:hAnsi="Calibri"/>
          <w:b w:val="false"/>
          <w:bCs w:val="false"/>
          <w:i w:val="false"/>
          <w:iCs w:val="false"/>
          <w:color w:val="1A2E33"/>
          <w:sz w:val="20"/>
          <w:szCs w:val="20"/>
        </w:rPr>
        <w:t xml:space="preserve">Riebe D, Franklin BA, Thompson PD, et al. </w:t>
      </w:r>
      <w:r>
        <w:rPr>
          <w:rFonts w:ascii="Calibri" w:cs="Calibri" w:eastAsia="Calibri" w:hAnsi="Calibri"/>
          <w:b w:val="false"/>
          <w:bCs w:val="false"/>
          <w:i/>
          <w:iCs/>
          <w:color w:val="1A2E33"/>
          <w:sz w:val="20"/>
          <w:szCs w:val="20"/>
        </w:rPr>
        <w:t xml:space="preserve">Updating ACSM’s recommendations for exercise preparticipation health screening. </w:t>
      </w:r>
      <w:r>
        <w:rPr>
          <w:rFonts w:ascii="Calibri" w:cs="Calibri" w:eastAsia="Calibri" w:hAnsi="Calibri"/>
          <w:b w:val="false"/>
          <w:bCs w:val="false"/>
          <w:i w:val="false"/>
          <w:iCs w:val="false"/>
          <w:color w:val="1A2E33"/>
          <w:sz w:val="20"/>
          <w:szCs w:val="20"/>
        </w:rPr>
        <w:t xml:space="preserve">Medicine &amp; Science in Sports &amp; Exercise. 2015;47(11):2473–2479.</w:t>
      </w:r>
    </w:p>
    <w:p>
      <w:pPr>
        <w:spacing w:after="100" w:line="264"/>
        <w:ind w:left="360" w:hanging="360"/>
      </w:pPr>
      <w:r>
        <w:rPr>
          <w:rFonts w:ascii="Calibri" w:cs="Calibri" w:eastAsia="Calibri" w:hAnsi="Calibri"/>
          <w:color w:val="1A2E33"/>
          <w:sz w:val="20"/>
          <w:szCs w:val="20"/>
        </w:rPr>
        <w:t xml:space="preserve">34.	</w:t>
      </w:r>
      <w:r>
        <w:rPr>
          <w:rFonts w:ascii="Calibri" w:cs="Calibri" w:eastAsia="Calibri" w:hAnsi="Calibri"/>
          <w:b w:val="false"/>
          <w:bCs w:val="false"/>
          <w:i w:val="false"/>
          <w:iCs w:val="false"/>
          <w:color w:val="1A2E33"/>
          <w:sz w:val="20"/>
          <w:szCs w:val="20"/>
        </w:rPr>
        <w:t xml:space="preserve">Albert CM, Mittleman MA, Chae CU, Lee IM, Hennekens CH, Manson JE. </w:t>
      </w:r>
      <w:r>
        <w:rPr>
          <w:rFonts w:ascii="Calibri" w:cs="Calibri" w:eastAsia="Calibri" w:hAnsi="Calibri"/>
          <w:b w:val="false"/>
          <w:bCs w:val="false"/>
          <w:i/>
          <w:iCs/>
          <w:color w:val="1A2E33"/>
          <w:sz w:val="20"/>
          <w:szCs w:val="20"/>
        </w:rPr>
        <w:t xml:space="preserve">Triggering of sudden death from cardiac causes by vigorous exertion. </w:t>
      </w:r>
      <w:r>
        <w:rPr>
          <w:rFonts w:ascii="Calibri" w:cs="Calibri" w:eastAsia="Calibri" w:hAnsi="Calibri"/>
          <w:b w:val="false"/>
          <w:bCs w:val="false"/>
          <w:i w:val="false"/>
          <w:iCs w:val="false"/>
          <w:color w:val="1A2E33"/>
          <w:sz w:val="20"/>
          <w:szCs w:val="20"/>
        </w:rPr>
        <w:t xml:space="preserve">New England Journal of Medicine. 2000;343(19):1355–1361.</w:t>
      </w:r>
    </w:p>
    <w:p>
      <w:pPr>
        <w:spacing w:after="100" w:line="264"/>
        <w:ind w:left="360" w:hanging="360"/>
      </w:pPr>
      <w:r>
        <w:rPr>
          <w:rFonts w:ascii="Calibri" w:cs="Calibri" w:eastAsia="Calibri" w:hAnsi="Calibri"/>
          <w:color w:val="1A2E33"/>
          <w:sz w:val="20"/>
          <w:szCs w:val="20"/>
        </w:rPr>
        <w:t xml:space="preserve">35.	</w:t>
      </w:r>
      <w:r>
        <w:rPr>
          <w:rFonts w:ascii="Calibri" w:cs="Calibri" w:eastAsia="Calibri" w:hAnsi="Calibri"/>
          <w:b w:val="false"/>
          <w:bCs w:val="false"/>
          <w:i w:val="false"/>
          <w:iCs w:val="false"/>
          <w:color w:val="1A2E33"/>
          <w:sz w:val="20"/>
          <w:szCs w:val="20"/>
        </w:rPr>
        <w:t xml:space="preserve">Thompson PD, Franklin BA, Balady GJ, et al. </w:t>
      </w:r>
      <w:r>
        <w:rPr>
          <w:rFonts w:ascii="Calibri" w:cs="Calibri" w:eastAsia="Calibri" w:hAnsi="Calibri"/>
          <w:b w:val="false"/>
          <w:bCs w:val="false"/>
          <w:i/>
          <w:iCs/>
          <w:color w:val="1A2E33"/>
          <w:sz w:val="20"/>
          <w:szCs w:val="20"/>
        </w:rPr>
        <w:t xml:space="preserve">Exercise and acute cardiovascular events: placing the risks into perspective. A scientific statement from the American Heart Association. </w:t>
      </w:r>
      <w:r>
        <w:rPr>
          <w:rFonts w:ascii="Calibri" w:cs="Calibri" w:eastAsia="Calibri" w:hAnsi="Calibri"/>
          <w:b w:val="false"/>
          <w:bCs w:val="false"/>
          <w:i w:val="false"/>
          <w:iCs w:val="false"/>
          <w:color w:val="1A2E33"/>
          <w:sz w:val="20"/>
          <w:szCs w:val="20"/>
        </w:rPr>
        <w:t xml:space="preserve">Circulation. 2007;115(17):2358–2368.</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5E767D"/>
        <w:sz w:val="16"/>
        <w:szCs w:val="16"/>
      </w:rPr>
      <w:t xml:space="preserve">Confidential · Verbal · </w:t>
    </w:r>
    <w:r>
      <w:rPr>
        <w:rFonts w:ascii="Calibri" w:cs="Calibri" w:eastAsia="Calibri" w:hAnsi="Calibri"/>
        <w:color w:val="5E767D"/>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color w:val="5E767D"/>
        <w:sz w:val="16"/>
        <w:szCs w:val="16"/>
      </w:rPr>
      <w:t xml:space="preserve">Scientific Appendix — VO₂ max &amp; Cardiometabolic Disease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2E33"/>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VO2 max Cardiometabolic Scientific Appendix</dc:title>
  <dc:creator>Verbal</dc:creator>
  <cp:lastModifiedBy>Un-named</cp:lastModifiedBy>
  <cp:revision>1</cp:revision>
  <dcterms:created xsi:type="dcterms:W3CDTF">2026-07-16T06:10:23.961Z</dcterms:created>
  <dcterms:modified xsi:type="dcterms:W3CDTF">2026-07-16T06:10:23.961Z</dcterms:modified>
</cp:coreProperties>
</file>

<file path=docProps/custom.xml><?xml version="1.0" encoding="utf-8"?>
<Properties xmlns="http://schemas.openxmlformats.org/officeDocument/2006/custom-properties" xmlns:vt="http://schemas.openxmlformats.org/officeDocument/2006/docPropsVTypes"/>
</file>